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B105F5">
      <w:pPr>
        <w:pStyle w:val="a00"/>
      </w:pPr>
      <w:bookmarkStart w:id="0" w:name="a1"/>
      <w:bookmarkEnd w:id="0"/>
      <w:r>
        <w:t> </w:t>
      </w:r>
    </w:p>
    <w:p w:rsidR="00B105F5" w:rsidRDefault="00B105F5">
      <w:pPr>
        <w:shd w:val="clear" w:color="auto" w:fill="FFFFFF"/>
        <w:jc w:val="right"/>
        <w:divId w:val="152089903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1" name="Рисунок 1" descr="Для всех отрас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сех отрас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F5" w:rsidRDefault="00B105F5">
      <w:pPr>
        <w:shd w:val="clear" w:color="auto" w:fill="F4F4F4"/>
        <w:divId w:val="15449875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143000" cy="1143000"/>
            <wp:effectExtent l="19050" t="0" r="0" b="0"/>
            <wp:docPr id="2" name="Рисунок 2" descr="Елена Шум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ена Шумс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F5" w:rsidRDefault="00B105F5">
      <w:pPr>
        <w:pStyle w:val="author-name1"/>
        <w:shd w:val="clear" w:color="auto" w:fill="F4F4F4"/>
        <w:divId w:val="1826555247"/>
      </w:pPr>
      <w:r>
        <w:rPr>
          <w:b/>
          <w:bCs/>
        </w:rPr>
        <w:t>Елена Шумская</w:t>
      </w:r>
      <w:r>
        <w:br/>
        <w:t>заведующая отделом документоведения учреждения «Белорусский научно-исследовательский институт документоведения и архивного дела»</w:t>
      </w:r>
    </w:p>
    <w:p w:rsidR="00B105F5" w:rsidRDefault="00B105F5">
      <w:pPr>
        <w:pStyle w:val="date1"/>
        <w:shd w:val="clear" w:color="auto" w:fill="F4F4F4"/>
        <w:divId w:val="2140342792"/>
      </w:pPr>
      <w:r>
        <w:t>03.01.2023</w:t>
      </w:r>
    </w:p>
    <w:p w:rsidR="00B105F5" w:rsidRDefault="00B105F5">
      <w:pPr>
        <w:pStyle w:val="justify"/>
      </w:pPr>
      <w:r>
        <w:rPr>
          <w:rStyle w:val="namevopr"/>
        </w:rPr>
        <w:t>ВОПРОС</w:t>
      </w:r>
    </w:p>
    <w:p w:rsidR="00B105F5" w:rsidRDefault="00B105F5">
      <w:pPr>
        <w:pStyle w:val="justify"/>
      </w:pPr>
      <w:r>
        <w:t>Что делать с книгой замечаний и предложений организации, если книга уже не ведется? Сколько книгу следует хранить и где?</w:t>
      </w:r>
    </w:p>
    <w:p w:rsidR="00B105F5" w:rsidRDefault="00B105F5">
      <w:pPr>
        <w:pStyle w:val="justify"/>
      </w:pPr>
      <w:r>
        <w:t> </w:t>
      </w:r>
    </w:p>
    <w:p w:rsidR="00B105F5" w:rsidRDefault="00B105F5">
      <w:pPr>
        <w:pStyle w:val="justify"/>
      </w:pPr>
      <w:r>
        <w:rPr>
          <w:rStyle w:val="namevopr"/>
        </w:rPr>
        <w:t>ОТВЕТ</w:t>
      </w:r>
    </w:p>
    <w:p w:rsidR="00B105F5" w:rsidRDefault="00B105F5">
      <w:pPr>
        <w:pStyle w:val="justify"/>
      </w:pPr>
      <w:r>
        <w:rPr>
          <w:b/>
          <w:bCs/>
        </w:rPr>
        <w:t>Хранить в установленном порядке.</w:t>
      </w:r>
    </w:p>
    <w:p w:rsidR="00B105F5" w:rsidRDefault="00B105F5">
      <w:pPr>
        <w:pStyle w:val="justify"/>
      </w:pPr>
      <w:r>
        <w:t xml:space="preserve">Перечень сфер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приведен в </w:t>
      </w:r>
      <w:hyperlink r:id="rId6" w:anchor="a166" w:tooltip="+" w:history="1">
        <w:r>
          <w:rPr>
            <w:rStyle w:val="a3"/>
          </w:rPr>
          <w:t>приложении 2</w:t>
        </w:r>
      </w:hyperlink>
      <w:r>
        <w:t xml:space="preserve"> к постановлению Совмина от 16.03.2005 № 285 «О некоторых вопросах организации работы с книгой замечаний и предложений» в ред. постановления Совмина от 19.12.2022 № 877 (вступило в силу </w:t>
      </w:r>
      <w:r>
        <w:rPr>
          <w:b/>
          <w:bCs/>
        </w:rPr>
        <w:t>с 2 января 2023 г.</w:t>
      </w:r>
      <w:r>
        <w:t xml:space="preserve">), которым внесены изменения в </w:t>
      </w:r>
      <w:hyperlink r:id="rId7" w:anchor="a82" w:tooltip="+" w:history="1">
        <w:r>
          <w:rPr>
            <w:rStyle w:val="a3"/>
          </w:rPr>
          <w:t>постановление</w:t>
        </w:r>
      </w:hyperlink>
      <w:r>
        <w:t xml:space="preserve"> № 285 и </w:t>
      </w: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Совмина от 30.12.2011 № 1786.</w:t>
      </w:r>
    </w:p>
    <w:p w:rsidR="00B105F5" w:rsidRDefault="00B105F5">
      <w:pPr>
        <w:pStyle w:val="justify"/>
      </w:pPr>
      <w:r>
        <w:t xml:space="preserve">Уточнено, что </w:t>
      </w:r>
      <w:r>
        <w:rPr>
          <w:b/>
          <w:bCs/>
        </w:rPr>
        <w:t>ведение ранее выданных книг замечаний и предложений государственными органами, а также организациями и ИП, которые не уполномочены на их ведение, прекращается</w:t>
      </w:r>
      <w:r>
        <w:t>.</w:t>
      </w:r>
    </w:p>
    <w:p w:rsidR="00B105F5" w:rsidRDefault="00B105F5">
      <w:pPr>
        <w:pStyle w:val="justify"/>
      </w:pPr>
      <w:r>
        <w:t xml:space="preserve">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</w:t>
      </w:r>
      <w:r>
        <w:rPr>
          <w:b/>
          <w:bCs/>
        </w:rPr>
        <w:t>по истечении календарного года - в течение 5 лет в архиве организации или у ИП</w:t>
      </w:r>
      <w:r>
        <w:t xml:space="preserve"> (</w:t>
      </w:r>
      <w:hyperlink r:id="rId9" w:anchor="a118" w:tooltip="+" w:history="1">
        <w:r>
          <w:rPr>
            <w:rStyle w:val="a3"/>
          </w:rPr>
          <w:t>п.16</w:t>
        </w:r>
      </w:hyperlink>
      <w:r>
        <w:t xml:space="preserve"> Положения о порядке выдачи, ведения и хранения книги замечаний и предложений, утв. постановлением № 285, в ред. постановления № 877).</w:t>
      </w:r>
    </w:p>
    <w:p w:rsidR="00B105F5" w:rsidRDefault="00B105F5">
      <w:pPr>
        <w:pStyle w:val="justify"/>
      </w:pPr>
      <w:r>
        <w:t xml:space="preserve">Срок хранения книги замечаний и предложений определен и </w:t>
      </w:r>
      <w:hyperlink r:id="rId10" w:anchor="a1189" w:tooltip="+" w:history="1">
        <w:r>
          <w:rPr>
            <w:rStyle w:val="a3"/>
          </w:rPr>
          <w:t>п.89</w:t>
        </w:r>
      </w:hyperlink>
      <w:r>
        <w:t xml:space="preserve"> Перечня № 140 - 5 лет после окончания ведения и передачи в архив организации.</w:t>
      </w:r>
    </w:p>
    <w:p w:rsidR="00B105F5" w:rsidRDefault="00B105F5">
      <w:pPr>
        <w:pStyle w:val="justify"/>
      </w:pPr>
      <w:r>
        <w:t>Исчисление сроков хранения документов производится с 1 января года, следующего за годом окончания их делопроизводством (</w:t>
      </w:r>
      <w:hyperlink r:id="rId11" w:anchor="a1140" w:tooltip="+" w:history="1">
        <w:r>
          <w:rPr>
            <w:rStyle w:val="a3"/>
          </w:rPr>
          <w:t>примечание 7</w:t>
        </w:r>
      </w:hyperlink>
      <w:r>
        <w:t xml:space="preserve"> к Перечню № 140).</w:t>
      </w:r>
    </w:p>
    <w:p w:rsidR="00B105F5" w:rsidRDefault="00B105F5">
      <w:pPr>
        <w:pStyle w:val="justify"/>
      </w:pPr>
      <w:r>
        <w:rPr>
          <w:b/>
          <w:bCs/>
        </w:rPr>
        <w:lastRenderedPageBreak/>
        <w:t>Пояснение «После окончания ведения»</w:t>
      </w:r>
      <w:r>
        <w:t xml:space="preserve"> применяется, как правило, при исчислении сроков хранения регистрационно-контрольных форм (книг, журналов и т. п.) и означает, что установленный </w:t>
      </w:r>
      <w:hyperlink r:id="rId12" w:anchor="a943" w:tooltip="+" w:history="1">
        <w:r>
          <w:rPr>
            <w:rStyle w:val="a3"/>
          </w:rPr>
          <w:t>Перечнем</w:t>
        </w:r>
      </w:hyperlink>
      <w:r>
        <w:t xml:space="preserve"> № 140 срок хранения соответствующих документов исчисляется с 1 января года, следующего за годом окончания ведения соответствующей регистрационно-контрольной формы.</w:t>
      </w:r>
    </w:p>
    <w:p w:rsidR="00B105F5" w:rsidRDefault="00B105F5">
      <w:pPr>
        <w:pStyle w:val="justify"/>
      </w:pPr>
      <w:r>
        <w:t>Следовательно, в госорганах, а также организациях и у ИП, для которых ведение книги замечаний и предложений прекращается с 2 января 2023 г., 2023 год будет годом окончания ведения этой книги.</w:t>
      </w:r>
    </w:p>
    <w:p w:rsidR="00B105F5" w:rsidRDefault="00B105F5">
      <w:pPr>
        <w:pStyle w:val="justify"/>
      </w:pPr>
      <w:r>
        <w:t xml:space="preserve">Установленный </w:t>
      </w:r>
      <w:r>
        <w:rPr>
          <w:b/>
          <w:bCs/>
        </w:rPr>
        <w:t>срок хранения должен исчисляться с 1 января 2024 г., данная книга может быть уничтожена не ранее 1 января 2029 г. в установленном порядке</w:t>
      </w:r>
      <w:r>
        <w:t xml:space="preserve"> (в соответствии с </w:t>
      </w:r>
      <w:hyperlink r:id="rId13" w:anchor="a51" w:tooltip="+" w:history="1">
        <w:r>
          <w:rPr>
            <w:rStyle w:val="a3"/>
          </w:rPr>
          <w:t>гл.16</w:t>
        </w:r>
      </w:hyperlink>
      <w:r>
        <w:t xml:space="preserve"> Инструкции по делопроизводству в государственных органах, иных организациях, утв. постановлением Минюста от 19.01.2009 № 4).</w:t>
      </w:r>
    </w:p>
    <w:p w:rsidR="00B105F5" w:rsidRDefault="00B105F5">
      <w:pPr>
        <w:pStyle w:val="justify"/>
      </w:pPr>
      <w:r>
        <w:t xml:space="preserve">При этом </w:t>
      </w:r>
      <w:r>
        <w:rPr>
          <w:b/>
          <w:bCs/>
        </w:rPr>
        <w:t>документы могут быть уничтожены только за те годы</w:t>
      </w:r>
      <w:r>
        <w:t xml:space="preserve">, за которые в организации составлены и </w:t>
      </w:r>
      <w:r>
        <w:rPr>
          <w:b/>
          <w:bCs/>
        </w:rPr>
        <w:t>утверждены сводные описи дел (годовые разделы сводных описей дел)</w:t>
      </w:r>
      <w:r>
        <w:t xml:space="preserve"> постоянного, временного (свыше 10 лет) хранения, в том числе по личному составу.</w:t>
      </w:r>
    </w:p>
    <w:p w:rsidR="00B105F5" w:rsidRDefault="00B105F5">
      <w:pPr>
        <w:pStyle w:val="justify"/>
      </w:pPr>
      <w:r>
        <w:t> </w:t>
      </w:r>
    </w:p>
    <w:p w:rsidR="00B105F5" w:rsidRDefault="00B105F5">
      <w:pPr>
        <w:pStyle w:val="podpis"/>
      </w:pPr>
      <w:r>
        <w:t xml:space="preserve">Материал подготовлен по результатам обсуждения </w:t>
      </w:r>
      <w:hyperlink r:id="rId14" w:tgtFrame="_blank" w:tooltip="Ссылки на внешние интернет-ресурсы актуальны на дату написания материала" w:history="1">
        <w:r>
          <w:rPr>
            <w:rStyle w:val="a3"/>
          </w:rPr>
          <w:t>топика</w:t>
        </w:r>
      </w:hyperlink>
      <w:r>
        <w:t xml:space="preserve"> на Платформе</w:t>
      </w:r>
    </w:p>
    <w:p w:rsidR="00B105F5" w:rsidRDefault="00B105F5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595"/>
        <w:gridCol w:w="10365"/>
      </w:tblGrid>
      <w:tr w:rsidR="00B105F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B105F5" w:rsidRDefault="00B105F5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Рисунок 3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B105F5" w:rsidRDefault="00B105F5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B105F5" w:rsidRDefault="00B105F5">
            <w:pPr>
              <w:pStyle w:val="a0-justify"/>
            </w:pPr>
            <w:r>
              <w:t xml:space="preserve">• </w:t>
            </w:r>
            <w:hyperlink r:id="rId16" w:anchor="a1" w:tooltip="+" w:history="1">
              <w:r>
                <w:rPr>
                  <w:rStyle w:val="a3"/>
                </w:rPr>
                <w:t>Согласно</w:t>
              </w:r>
            </w:hyperlink>
            <w:r>
              <w:t xml:space="preserve"> постановлению Совмина от 19.12.2022 № 877 «Об изменении постановлений Совета Министров Республики Беларусь от 16 марта 2005 г. № 285 и от 30 декабря 2011 г. № 1786» организация не входит в перечень организаций, в которых ведется книга замечаний и предложений. Необходимо ли издать приказ об отмене ведения книги замечаний и предложений в организации? Каков порядок отзыва книг из пунктов оказания услуг?</w:t>
            </w:r>
          </w:p>
        </w:tc>
      </w:tr>
    </w:tbl>
    <w:p w:rsidR="00B105F5" w:rsidRDefault="00B105F5">
      <w:pPr>
        <w:rPr>
          <w:rFonts w:eastAsia="Times New Roman"/>
        </w:rPr>
      </w:pPr>
    </w:p>
    <w:sectPr w:rsidR="00B105F5" w:rsidSect="00B105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105F5"/>
    <w:rsid w:val="00143E3E"/>
    <w:rsid w:val="00B1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5F5"/>
    <w:rPr>
      <w:color w:val="0000FF"/>
      <w:u w:val="single"/>
    </w:rPr>
  </w:style>
  <w:style w:type="paragraph" w:customStyle="1" w:styleId="justify">
    <w:name w:val="justify"/>
    <w:basedOn w:val="a"/>
    <w:rsid w:val="00B105F5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B105F5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rsid w:val="00B105F5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pis">
    <w:name w:val="podpis"/>
    <w:basedOn w:val="a"/>
    <w:rsid w:val="00B105F5"/>
    <w:pPr>
      <w:spacing w:after="160" w:line="240" w:lineRule="auto"/>
    </w:pPr>
    <w:rPr>
      <w:rFonts w:ascii="Arial" w:hAnsi="Arial" w:cs="Arial"/>
      <w:b/>
      <w:bCs/>
      <w:i/>
      <w:iCs/>
    </w:rPr>
  </w:style>
  <w:style w:type="character" w:customStyle="1" w:styleId="namevopr">
    <w:name w:val="name_vopr"/>
    <w:basedOn w:val="a0"/>
    <w:rsid w:val="00B105F5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paragraph" w:customStyle="1" w:styleId="author-name1">
    <w:name w:val="author-name1"/>
    <w:basedOn w:val="a"/>
    <w:rsid w:val="00B105F5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rsid w:val="00B105F5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9030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2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1826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75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a\Downloads\&#1053;&#1086;&#1074;&#1072;&#1103;%20&#1087;&#1072;&#1087;&#1082;&#1072;\tx.dll%3fd=228929&amp;a=1" TargetMode="External"/><Relationship Id="rId13" Type="http://schemas.openxmlformats.org/officeDocument/2006/relationships/hyperlink" Target="file:///C:\Users\bsa\Downloads\&#1053;&#1086;&#1074;&#1072;&#1103;%20&#1087;&#1072;&#1087;&#1082;&#1072;\tx.dll%3fd=152181&amp;a=5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bsa\Downloads\&#1053;&#1086;&#1074;&#1072;&#1103;%20&#1087;&#1072;&#1087;&#1082;&#1072;\tx.dll%3fd=77452&amp;a=82" TargetMode="External"/><Relationship Id="rId12" Type="http://schemas.openxmlformats.org/officeDocument/2006/relationships/hyperlink" Target="file:///C:\Users\bsa\Downloads\&#1053;&#1086;&#1074;&#1072;&#1103;%20&#1087;&#1072;&#1087;&#1082;&#1072;\tx.dll%3fd=243617&amp;a=94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bsa\Downloads\&#1053;&#1086;&#1074;&#1072;&#1103;%20&#1087;&#1072;&#1087;&#1082;&#1072;\tx.dll%3fd=623100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sa\Downloads\&#1053;&#1086;&#1074;&#1072;&#1103;%20&#1087;&#1072;&#1087;&#1082;&#1072;\tx.dll%3fd=77452&amp;a=166" TargetMode="External"/><Relationship Id="rId11" Type="http://schemas.openxmlformats.org/officeDocument/2006/relationships/hyperlink" Target="file:///C:\Users\bsa\Downloads\&#1053;&#1086;&#1074;&#1072;&#1103;%20&#1087;&#1072;&#1087;&#1082;&#1072;\tx.dll%3fd=243617&amp;a=114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3.png"/><Relationship Id="rId10" Type="http://schemas.openxmlformats.org/officeDocument/2006/relationships/hyperlink" Target="file:///C:\Users\bsa\Downloads\&#1053;&#1086;&#1074;&#1072;&#1103;%20&#1087;&#1072;&#1087;&#1082;&#1072;\tx.dll%3fd=243617&amp;a=1189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bsa\Downloads\&#1053;&#1086;&#1074;&#1072;&#1103;%20&#1087;&#1072;&#1087;&#1082;&#1072;\tx.dll%3fd=77452&amp;a=118" TargetMode="External"/><Relationship Id="rId14" Type="http://schemas.openxmlformats.org/officeDocument/2006/relationships/hyperlink" Target="https://bii.by/ps_f.dll?t=111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>Work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Борзовец</dc:creator>
  <cp:lastModifiedBy>bsa</cp:lastModifiedBy>
  <cp:revision>2</cp:revision>
  <dcterms:created xsi:type="dcterms:W3CDTF">2023-01-26T13:36:00Z</dcterms:created>
  <dcterms:modified xsi:type="dcterms:W3CDTF">2023-01-26T13:36:00Z</dcterms:modified>
</cp:coreProperties>
</file>