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Серия вебинаров ИИТО ЮНЕСКО </w:t>
      </w: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и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EduHub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59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руглый стол к Международному дню толерантности (16 </w:t>
      </w:r>
      <w:r w:rsidDel="00000000" w:rsidR="00000000" w:rsidRPr="00000000">
        <w:rPr>
          <w:rFonts w:ascii="Arial" w:cs="Arial" w:eastAsia="Arial" w:hAnsi="Arial"/>
          <w:rtl w:val="0"/>
        </w:rPr>
        <w:t xml:space="preserve">ноября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«Как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научить подростков принимать себя и  уважать различия у других: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опыт педагогов и родителей из стран Восточной Европы и Центральной Азии”</w:t>
      </w:r>
    </w:p>
    <w:p w:rsidR="00000000" w:rsidDel="00000000" w:rsidP="00000000" w:rsidRDefault="00000000" w:rsidRPr="00000000" w14:paraId="00000006">
      <w:pPr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EduHub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– Международная платформа по обучению в области здоровья и благополучия и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ИИТО ЮНЕСКО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– Институт ЮНЕСКО по информационным технологиям в образовании приглашают Вас принять участие в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Международном круглом столе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, приуроченном к Международному дню толерантности и посвященном роли педагогов, родителей и  специалистов помогающих профессий в формировании ценностных установок у подростков. </w:t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Когда: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  <w:tab/>
        <w:t xml:space="preserve">Суббота 16 ноября 2024 года, 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:00–1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:00 (Киев, Кишинев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)  13:00–15:00 (Минск, Москва),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:00–1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:00 (Баку, Ереван, Тбилиси);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:00–1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7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:00 (Астана, Душанбе, Ташкент);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:00–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18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:00 (Бишкек).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Где: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Круглый стол пройдет в онлайн-формате на платформе Zoom. Регистрация по </w:t>
      </w:r>
      <w:hyperlink r:id="rId7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ссылке</w:t>
        </w:r>
      </w:hyperlink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Сертификат: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Все участники бесплатно получат сертификаты международного образца.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О чем этот круглый стол?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Сегодня толерантность — это не просто красивый термин или теоретическая концепция. Это реальный навык, который нужен каждому подростку, чтобы ориентироваться в разнообразном мире. Вопросы взросления, здоровья и отношений тесно связаны с уважением к культурным и личным особенностям других людей, и именно толерантность помогает подросткам строить доверительные отношения, видеть ценность в разнообразии и уважать себя и других.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Толерантность формирует у подростков эмоциональный интеллект и развивает эмпатию — качества, которые обеспечивают не только эффективную адаптацию к меняющемуся миру, но и способствуют построению здоровых, поддерживающих связей. Навык толерантности снижает тревожность, укрепляет самооценку и учит подростков, что принятие различий начинается с принятия себя.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Открыто обсуждая вопросы толерантности с подростками, родители и специалисты помогают создать пространство, где каждый чувствует себя значимым. Это укрепляет уверенность подростков в том, что их мнение имеет ценность, а их уникальность принимается и уважается. В этом случае толерантность становится не просто теоретической ценностью, а важным жизненным инструментом, который подростки унесут с собой во взрослую жизнь. На круглом столе, при участии психологов, педагогов и родителей, попробуем вместе найти ответы на главный вопрос: как поддержать подростков в развитии навыка толерантности, и как создать условия для их уверенного и гармоничного взросления?</w:t>
      </w:r>
    </w:p>
    <w:p w:rsidR="00000000" w:rsidDel="00000000" w:rsidP="00000000" w:rsidRDefault="00000000" w:rsidRPr="00000000" w14:paraId="00000012">
      <w:pPr>
        <w:spacing w:after="0" w:before="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Вопросы для обсуждения на круглом столе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3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Почему навыки толерантности становятся всё более актуальными в жизни подростков сегодня?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3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Как принятие своей уникальности помогает подростку строить здоровые отношения? Какие приемы и советы могут дать родители и учителя, чтобы поддержать подростка в этом?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before="0" w:line="240" w:lineRule="auto"/>
        <w:ind w:left="3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Что делает эмпатию «социальным супернавыком», который способен сближать людей и укреплять связи? Как педагоги могут развить это качество у подростков и помочь им видеть ценность в различиях?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before="0" w:line="240" w:lineRule="auto"/>
        <w:ind w:left="3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Какие навыки помогают подросткам строить не только дружеские, но и романтические отношения, основанные на уважении? Как родители и учителя могут подготовить их к этому?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before="0" w:line="240" w:lineRule="auto"/>
        <w:ind w:left="3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Что делать, если подросток отвергает «других» — будь то из-за культурных. личностных или любых иных отличий? Как взрослые могут превратить это в обучающий момент и научить подростка толерантности?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before="0" w:line="240" w:lineRule="auto"/>
        <w:ind w:left="3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Всегда ли толерантность означает безоговорочное принятие? Как подростки могут научиться отличать уважение к чужим убеждениям от необходимости принимать то, что идет вразрез с их ценностями?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before="0" w:line="240" w:lineRule="auto"/>
        <w:ind w:left="36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Какие ошибки допускают взрослые, обучая подростков толерантности, и как избежать этих ошибок?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Участники круглого стола: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школьные учителя, классные руководители, социальные педагоги;  специалисты помогающих профессий, медицинские работники, психологи; родители детей и подростков; представители общественных организаций, журналисты и блогеры.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Вопросы о круглом столе можно задать: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руководителю EduHub Виталию Никоновичу по электронной почте: </w:t>
      </w:r>
      <w:hyperlink r:id="rId8">
        <w:r w:rsidDel="00000000" w:rsidR="00000000" w:rsidRPr="00000000">
          <w:rPr>
            <w:rFonts w:ascii="Arial" w:cs="Arial" w:eastAsia="Arial" w:hAnsi="Arial"/>
            <w:color w:val="980000"/>
            <w:sz w:val="20"/>
            <w:szCs w:val="20"/>
            <w:u w:val="single"/>
            <w:rtl w:val="0"/>
          </w:rPr>
          <w:t xml:space="preserve">vitali@eduhub.pro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или через мессенджер Telegram: +995591114575 (@eduhub_support).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0" w:orient="portrait"/>
      <w:pgMar w:bottom="566" w:top="1133" w:left="1133" w:right="566" w:header="566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rPr>
        <w:rFonts w:ascii="Helvetica Neue" w:cs="Helvetica Neue" w:eastAsia="Helvetica Neue" w:hAnsi="Helvetica Neue"/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  <w:tab w:val="center" w:leader="none" w:pos="4819"/>
        <w:tab w:val="right" w:leader="none" w:pos="9612"/>
      </w:tabs>
      <w:jc w:val="right"/>
      <w:rPr>
        <w:rFonts w:ascii="Helvetica Neue" w:cs="Helvetica Neue" w:eastAsia="Helvetica Neue" w:hAnsi="Helvetica Neue"/>
        <w:color w:val="000000"/>
      </w:rPr>
    </w:pPr>
    <w:r w:rsidDel="00000000" w:rsidR="00000000" w:rsidRPr="00000000">
      <w:rPr>
        <w:rFonts w:ascii="Helvetica Neue" w:cs="Helvetica Neue" w:eastAsia="Helvetica Neue" w:hAnsi="Helvetica Neue"/>
        <w:color w:val="000000"/>
        <w:rtl w:val="0"/>
      </w:rPr>
      <w:tab/>
      <w:t xml:space="preserve">                                                                </w:t>
    </w:r>
    <w:r w:rsidDel="00000000" w:rsidR="00000000" w:rsidRPr="00000000">
      <w:rPr>
        <w:rFonts w:ascii="Helvetica Neue" w:cs="Helvetica Neue" w:eastAsia="Helvetica Neue" w:hAnsi="Helvetica Neue"/>
        <w:color w:val="000000"/>
      </w:rPr>
      <w:drawing>
        <wp:inline distB="114300" distT="114300" distL="114300" distR="114300">
          <wp:extent cx="729721" cy="688023"/>
          <wp:effectExtent b="0" l="0" r="0" t="0"/>
          <wp:docPr id="107374183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9721" cy="68802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Helvetica Neue" w:cs="Helvetica Neue" w:eastAsia="Helvetica Neue" w:hAnsi="Helvetica Neue"/>
      </w:rPr>
      <w:drawing>
        <wp:inline distB="0" distT="0" distL="0" distR="0">
          <wp:extent cx="957222" cy="719432"/>
          <wp:effectExtent b="0" l="0" r="0" t="0"/>
          <wp:docPr descr="Изображение" id="1073741839" name="image1.png"/>
          <a:graphic>
            <a:graphicData uri="http://schemas.openxmlformats.org/drawingml/2006/picture">
              <pic:pic>
                <pic:nvPicPr>
                  <pic:cNvPr descr="Изображение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22" cy="7194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Helvetica Neue" w:cs="Helvetica Neue" w:eastAsia="Helvetica Neue" w:hAnsi="Helvetica Neue"/>
        <w:color w:val="000000"/>
        <w:rtl w:val="0"/>
      </w:rPr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90820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yperlink">
    <w:name w:val="Hyperlink"/>
    <w:uiPriority w:val="99"/>
    <w:rPr>
      <w:u w:val="single"/>
    </w:rPr>
  </w:style>
  <w:style w:type="paragraph" w:styleId="A" w:customStyle="1">
    <w:name w:val="Колонтитулы A"/>
    <w:pPr>
      <w:tabs>
        <w:tab w:val="right" w:pos="9020"/>
      </w:tabs>
    </w:pPr>
    <w:rPr>
      <w:rFonts w:ascii="Helvetica Neue" w:cs="Arial Unicode MS" w:eastAsia="Arial Unicode MS" w:hAnsi="Helvetica Neue"/>
      <w:color w:val="000000"/>
      <w:u w:color="000000"/>
      <w:lang w:val="ru-RU"/>
      <w14:textOutline w14:cap="flat" w14:cmpd="sng" w14:w="12700" w14:algn="ctr">
        <w14:noFill/>
        <w14:prstDash w14:val="solid"/>
        <w14:miter w14:lim="400000"/>
      </w14:textOutline>
    </w:rPr>
  </w:style>
  <w:style w:type="paragraph" w:styleId="a0" w:customStyle="1">
    <w:name w:val="Колонтитулы"/>
    <w:pPr>
      <w:tabs>
        <w:tab w:val="right" w:pos="9020"/>
      </w:tabs>
    </w:pPr>
    <w:rPr>
      <w:rFonts w:ascii="Helvetica Neue" w:cs="Arial Unicode MS" w:eastAsia="Arial Unicode MS" w:hAnsi="Helvetica Neue"/>
      <w:color w:val="000000"/>
      <w14:textOutline w14:cap="flat" w14:cmpd="sng" w14:algn="ctr">
        <w14:noFill/>
        <w14:prstDash w14:val="solid"/>
        <w14:bevel/>
      </w14:textOutline>
    </w:rPr>
  </w:style>
  <w:style w:type="paragraph" w:styleId="BodyText">
    <w:name w:val="Body Text"/>
    <w:rPr>
      <w:rFonts w:ascii="Helvetica Neue" w:cs="Arial Unicode MS" w:eastAsia="Arial Unicode MS" w:hAnsi="Helvetica Neue"/>
      <w:color w:val="000000"/>
      <w:sz w:val="22"/>
      <w:szCs w:val="22"/>
      <w:u w:color="000000"/>
      <w:lang w:val="ru-RU"/>
      <w14:textOutline w14:cap="flat" w14:cmpd="sng" w14:w="12700" w14:algn="ctr">
        <w14:noFill/>
        <w14:prstDash w14:val="solid"/>
        <w14:miter w14:lim="400000"/>
      </w14:textOutline>
    </w:rPr>
  </w:style>
  <w:style w:type="paragraph" w:styleId="a1" w:customStyle="1">
    <w:name w:val="По умолчанию"/>
    <w:pPr>
      <w:spacing w:before="160" w:line="288" w:lineRule="auto"/>
    </w:pPr>
    <w:rPr>
      <w:rFonts w:ascii="Helvetica Neue" w:cs="Helvetica Neue" w:eastAsia="Helvetica Neue" w:hAnsi="Helvetica Neue"/>
      <w:color w:val="000000"/>
      <w14:textOutline w14:cap="flat" w14:cmpd="sng" w14:algn="ctr">
        <w14:noFill/>
        <w14:prstDash w14:val="solid"/>
        <w14:bevel/>
      </w14:textOutline>
    </w:rPr>
  </w:style>
  <w:style w:type="character" w:styleId="a2" w:customStyle="1">
    <w:name w:val="Ссылка"/>
    <w:rPr>
      <w:outline w:val="0"/>
      <w:color w:val="0000ff"/>
      <w:u w:color="0000ff" w:val="single"/>
    </w:rPr>
  </w:style>
  <w:style w:type="character" w:styleId="Hyperlink0" w:customStyle="1">
    <w:name w:val="Hyperlink.0"/>
    <w:basedOn w:val="a2"/>
    <w:rPr>
      <w:outline w:val="0"/>
      <w:color w:val="222222"/>
      <w:sz w:val="20"/>
      <w:szCs w:val="20"/>
      <w:u w:color="0000ff" w:val="single"/>
    </w:rPr>
  </w:style>
  <w:style w:type="numbering" w:styleId="a3" w:customStyle="1">
    <w:name w:val="Тире"/>
  </w:style>
  <w:style w:type="character" w:styleId="Hyperlink1" w:customStyle="1">
    <w:name w:val="Hyperlink.1"/>
    <w:basedOn w:val="a2"/>
    <w:rPr>
      <w:outline w:val="0"/>
      <w:color w:val="000000"/>
      <w:sz w:val="20"/>
      <w:szCs w:val="20"/>
      <w:u w:color="0000ff" w:val="single"/>
    </w:rPr>
  </w:style>
  <w:style w:type="character" w:styleId="a4" w:customStyle="1">
    <w:name w:val="Нет"/>
  </w:style>
  <w:style w:type="character" w:styleId="Hyperlink2" w:customStyle="1">
    <w:name w:val="Hyperlink.2"/>
    <w:basedOn w:val="a4"/>
    <w:rPr>
      <w:u w:val="single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005C47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005C47"/>
    <w:rPr>
      <w:rFonts w:ascii="Segoe UI" w:cs="Segoe UI" w:hAnsi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 w:val="1"/>
    <w:rsid w:val="00005C47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05C47"/>
  </w:style>
  <w:style w:type="paragraph" w:styleId="Footer">
    <w:name w:val="footer"/>
    <w:basedOn w:val="Normal"/>
    <w:link w:val="FooterChar"/>
    <w:uiPriority w:val="99"/>
    <w:unhideWhenUsed w:val="1"/>
    <w:rsid w:val="00005C47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05C47"/>
  </w:style>
  <w:style w:type="paragraph" w:styleId="NoSpacing">
    <w:name w:val="No Spacing"/>
    <w:uiPriority w:val="1"/>
    <w:qFormat w:val="1"/>
    <w:rsid w:val="00005C47"/>
    <w:rPr>
      <w:lang w:eastAsia="ru-RU" w:val="ru-RU"/>
    </w:rPr>
  </w:style>
  <w:style w:type="paragraph" w:styleId="ListParagraph">
    <w:name w:val="List Paragraph"/>
    <w:basedOn w:val="Normal"/>
    <w:uiPriority w:val="34"/>
    <w:qFormat w:val="1"/>
    <w:rsid w:val="00FD2C69"/>
    <w:pPr>
      <w:ind w:left="720"/>
      <w:contextualSpacing w:val="1"/>
    </w:pPr>
  </w:style>
  <w:style w:type="character" w:styleId="Heading3Char" w:customStyle="1">
    <w:name w:val="Heading 3 Char"/>
    <w:basedOn w:val="DefaultParagraphFont"/>
    <w:link w:val="Heading3"/>
    <w:uiPriority w:val="9"/>
    <w:rsid w:val="00590820"/>
    <w:rPr>
      <w:b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us02web.zoom.us/meeting/register/tZMpce2tpz4qHNUSmOHWdmvU5v-1jWYww59K" TargetMode="External"/><Relationship Id="rId8" Type="http://schemas.openxmlformats.org/officeDocument/2006/relationships/hyperlink" Target="mailto:vitali@eduhub.pr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xaJLDx1FKBj9oxO5+BhTK3GWbw==">CgMxLjA4AHIhMUtjdGQtS24ydjJVdG9teTU3WFY3N0hPU0pLOS1XbE1E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2024-10-31T21:02:00Z</dcterms:created>
  <dc:creator>Tigran</dc:creator>
</cp:coreProperties>
</file>