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7034" w14:textId="77777777" w:rsidR="00000000" w:rsidRDefault="00010CA1">
      <w:pPr>
        <w:pStyle w:val="newncpi0"/>
        <w:jc w:val="center"/>
        <w:rPr>
          <w:color w:val="000000"/>
        </w:rPr>
      </w:pPr>
      <w:r>
        <w:rPr>
          <w:color w:val="000000"/>
        </w:rPr>
        <w:t> </w:t>
      </w:r>
    </w:p>
    <w:p w14:paraId="70D14FDB" w14:textId="77777777" w:rsidR="00000000" w:rsidRDefault="00010CA1">
      <w:pPr>
        <w:pStyle w:val="newncpi0"/>
        <w:jc w:val="center"/>
        <w:rPr>
          <w:color w:val="000000"/>
        </w:rPr>
      </w:pPr>
      <w:bookmarkStart w:id="0" w:name="a1"/>
      <w:bookmarkEnd w:id="0"/>
      <w:r>
        <w:rPr>
          <w:rStyle w:val="name"/>
          <w:color w:val="000000"/>
        </w:rPr>
        <w:t>ПОСТАНОВЛЕНИЕ </w:t>
      </w:r>
      <w:r>
        <w:rPr>
          <w:rStyle w:val="promulgator"/>
          <w:color w:val="000000"/>
        </w:rPr>
        <w:t>СОВЕТА МИНИСТРОВ РЕСПУБЛИКИ БЕЛАРУСЬ</w:t>
      </w:r>
    </w:p>
    <w:p w14:paraId="28F18403" w14:textId="77777777" w:rsidR="00000000" w:rsidRDefault="00010CA1">
      <w:pPr>
        <w:pStyle w:val="newncpi"/>
        <w:ind w:firstLine="0"/>
        <w:jc w:val="center"/>
        <w:rPr>
          <w:color w:val="000000"/>
        </w:rPr>
      </w:pPr>
      <w:r>
        <w:rPr>
          <w:rStyle w:val="HTML"/>
          <w:i/>
          <w:iCs/>
          <w:shd w:val="clear" w:color="auto" w:fill="FFFFFF"/>
        </w:rPr>
        <w:t>22 августа 2019</w:t>
      </w:r>
      <w:r>
        <w:rPr>
          <w:rStyle w:val="datepr"/>
          <w:color w:val="000000"/>
        </w:rPr>
        <w:t xml:space="preserve"> г.</w:t>
      </w:r>
      <w:r>
        <w:rPr>
          <w:rStyle w:val="number"/>
          <w:color w:val="000000"/>
        </w:rPr>
        <w:t xml:space="preserve"> </w:t>
      </w:r>
      <w:r>
        <w:rPr>
          <w:rStyle w:val="HTML"/>
          <w:i/>
          <w:iCs/>
          <w:shd w:val="clear" w:color="auto" w:fill="FFFFFF"/>
        </w:rPr>
        <w:t>№ 561</w:t>
      </w:r>
    </w:p>
    <w:p w14:paraId="54623FE1" w14:textId="77777777" w:rsidR="00000000" w:rsidRDefault="00010CA1">
      <w:pPr>
        <w:pStyle w:val="titlencpi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80"/>
        </w:rPr>
        <w:t>Об утверждении специфических требований</w:t>
      </w:r>
    </w:p>
    <w:p w14:paraId="58397DF1" w14:textId="77777777" w:rsidR="00000000" w:rsidRDefault="00010CA1">
      <w:pPr>
        <w:pStyle w:val="changei"/>
        <w:rPr>
          <w:color w:val="000000"/>
        </w:rPr>
      </w:pPr>
      <w:r>
        <w:rPr>
          <w:color w:val="000000"/>
        </w:rPr>
        <w:t>Изменения и дополнения:</w:t>
      </w:r>
    </w:p>
    <w:p w14:paraId="30A17346" w14:textId="77777777" w:rsidR="00000000" w:rsidRDefault="00010CA1">
      <w:pPr>
        <w:pStyle w:val="changeadd"/>
        <w:rPr>
          <w:color w:val="000000"/>
        </w:rPr>
      </w:pPr>
      <w:r>
        <w:rPr>
          <w:color w:val="000000"/>
        </w:rPr>
        <w:t>Постановление Совета Министров Республики Беларусь</w:t>
      </w:r>
      <w:r>
        <w:rPr>
          <w:color w:val="000000"/>
        </w:rPr>
        <w:t xml:space="preserve"> </w:t>
      </w:r>
      <w:r>
        <w:rPr>
          <w:rStyle w:val="HTML"/>
          <w:shd w:val="clear" w:color="auto" w:fill="FFFFFF"/>
        </w:rPr>
        <w:t>от</w:t>
      </w:r>
      <w:r>
        <w:rPr>
          <w:color w:val="000000"/>
        </w:rPr>
        <w:t xml:space="preserve"> 19 декабря 2022 г. № </w:t>
      </w:r>
      <w:r>
        <w:rPr>
          <w:color w:val="000000"/>
        </w:rPr>
        <w:t>872 (Национальный правовой Интернет-портал Республики Беларусь, 21.12.2022, 5/51108);</w:t>
      </w:r>
    </w:p>
    <w:p w14:paraId="3CD00D69" w14:textId="77777777" w:rsidR="00000000" w:rsidRDefault="00010CA1">
      <w:pPr>
        <w:pStyle w:val="changeadd"/>
        <w:rPr>
          <w:color w:val="000000"/>
        </w:rPr>
      </w:pPr>
      <w:r>
        <w:rPr>
          <w:color w:val="000000"/>
        </w:rPr>
        <w:t>Постановление Совета Министров Республики Беларусь от 5 декабря 2024 г. № 907 (Национальный правовой Интернет-портал Республики Беларусь, 07.12.2024, 5/54259)</w:t>
      </w:r>
    </w:p>
    <w:p w14:paraId="149F4BD7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 </w:t>
      </w:r>
    </w:p>
    <w:p w14:paraId="3E2D30A7" w14:textId="77777777" w:rsidR="00000000" w:rsidRDefault="00010CA1">
      <w:pPr>
        <w:pStyle w:val="preamble"/>
        <w:rPr>
          <w:color w:val="000000"/>
        </w:rPr>
      </w:pPr>
      <w:r>
        <w:rPr>
          <w:color w:val="000000"/>
        </w:rPr>
        <w:t>На основа</w:t>
      </w:r>
      <w:r>
        <w:rPr>
          <w:color w:val="000000"/>
        </w:rPr>
        <w:t>нии</w:t>
      </w:r>
      <w:r>
        <w:rPr>
          <w:color w:val="000000"/>
        </w:rPr>
        <w:t xml:space="preserve"> </w:t>
      </w:r>
      <w:r>
        <w:rPr>
          <w:color w:val="000000"/>
        </w:rPr>
        <w:t>пункта 2 общих требований пожарной безопасности к содержанию и эксплуатации капитальных строений (зданий, сооружений), изолированных помещений и иных объектов, принадлежащих субъектам хозяйствования, утвержденных Декретом Президента Республики Беларусь</w:t>
      </w:r>
      <w:r>
        <w:rPr>
          <w:color w:val="000000"/>
        </w:rPr>
        <w:t xml:space="preserve"> от 23 ноября 2017 г. № 7, Совет Министров Республики Беларусь ПОСТАНОВЛЯЕТ:</w:t>
      </w:r>
    </w:p>
    <w:p w14:paraId="66B03D53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1. Утвердить специфические требования по обеспечению пожарной безопасности для объектов, специально предназначенных для пребывания детей, а также объектов с одновременным пребыван</w:t>
      </w:r>
      <w:r>
        <w:rPr>
          <w:color w:val="000000"/>
        </w:rPr>
        <w:t>ием свыше 300 человек, объектов социальной сферы и здравоохранения с круглосуточным пребыванием людей (прилагаются).</w:t>
      </w:r>
    </w:p>
    <w:p w14:paraId="122D7E02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2. Предоставить Министерству по чрезвычайным ситуациям право разъяснять вопросы применения специфических требований по обеспечению пожарной</w:t>
      </w:r>
      <w:r>
        <w:rPr>
          <w:color w:val="000000"/>
        </w:rPr>
        <w:t xml:space="preserve"> безопасности для объектов, специально предназначенных для пребывания детей, а также объектов с одновременным пребыванием свыше 300 человек, объектов социальной сферы и здравоохранения с круглосуточным пребыванием людей, утвержденных настоящим постановлени</w:t>
      </w:r>
      <w:r>
        <w:rPr>
          <w:color w:val="000000"/>
        </w:rPr>
        <w:t>ем.</w:t>
      </w:r>
    </w:p>
    <w:p w14:paraId="7647D8EE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3. Настоящее постановление вступает в силу через три месяца после его официального опубликования.</w:t>
      </w:r>
    </w:p>
    <w:p w14:paraId="3D5A2A3B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000000" w14:paraId="4B3E5D66" w14:textId="777777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12F85E" w14:textId="77777777" w:rsidR="00000000" w:rsidRDefault="00010CA1">
            <w:pPr>
              <w:pStyle w:val="newncpi0"/>
              <w:jc w:val="left"/>
              <w:rPr>
                <w:color w:val="000000"/>
              </w:rPr>
            </w:pPr>
            <w:r>
              <w:rPr>
                <w:rStyle w:val="post"/>
                <w:color w:val="000000"/>
              </w:rPr>
              <w:t>Премьер-министр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DCF0D4F" w14:textId="77777777" w:rsidR="00000000" w:rsidRDefault="00010CA1">
            <w:pPr>
              <w:pStyle w:val="newncpi0"/>
              <w:jc w:val="right"/>
              <w:rPr>
                <w:color w:val="000000"/>
              </w:rPr>
            </w:pPr>
            <w:r>
              <w:rPr>
                <w:rStyle w:val="pers"/>
                <w:color w:val="000000"/>
              </w:rPr>
              <w:t>С.Румас</w:t>
            </w:r>
          </w:p>
        </w:tc>
      </w:tr>
    </w:tbl>
    <w:p w14:paraId="3291F9C2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  <w:gridCol w:w="2700"/>
      </w:tblGrid>
      <w:tr w:rsidR="00000000" w14:paraId="50BAAAFE" w14:textId="77777777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2749F1" w14:textId="77777777" w:rsidR="00000000" w:rsidRDefault="00010CA1">
            <w:pPr>
              <w:pStyle w:val="cap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C5A72" w14:textId="77777777" w:rsidR="00000000" w:rsidRDefault="00010CA1">
            <w:pPr>
              <w:pStyle w:val="capu1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14:paraId="5F36B495" w14:textId="77777777" w:rsidR="00000000" w:rsidRDefault="00010CA1">
            <w:pPr>
              <w:pStyle w:val="cap1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br/>
              <w:t xml:space="preserve">Совета Министров </w:t>
            </w:r>
            <w:r>
              <w:rPr>
                <w:color w:val="000000"/>
              </w:rPr>
              <w:br/>
              <w:t>Республики Беларусь</w:t>
            </w:r>
            <w:r>
              <w:rPr>
                <w:color w:val="000000"/>
              </w:rPr>
              <w:br/>
              <w:t>22.08.2019 № 561</w:t>
            </w:r>
          </w:p>
        </w:tc>
      </w:tr>
    </w:tbl>
    <w:p w14:paraId="243EBD93" w14:textId="77777777" w:rsidR="00000000" w:rsidRDefault="00010CA1">
      <w:pPr>
        <w:pStyle w:val="titleu"/>
        <w:rPr>
          <w:color w:val="000000"/>
        </w:rPr>
      </w:pPr>
      <w:bookmarkStart w:id="1" w:name="a2"/>
      <w:bookmarkEnd w:id="1"/>
      <w:r>
        <w:rPr>
          <w:color w:val="000000"/>
        </w:rPr>
        <w:t>СПЕЦИФИЧЕСКИЕ ТРЕБОВАНИЯ</w:t>
      </w:r>
      <w:r>
        <w:rPr>
          <w:color w:val="000000"/>
        </w:rPr>
        <w:br/>
        <w:t>по обеспечению пожарной безопасности для объектов, специально предназначенных для пребывания детей, а также объектов с одновременным пребыванием свыше 300 человек, объектов социальной сферы и здравоохранения с круглосуточным пребыв</w:t>
      </w:r>
      <w:r>
        <w:rPr>
          <w:color w:val="000000"/>
        </w:rPr>
        <w:t>анием людей</w:t>
      </w:r>
    </w:p>
    <w:p w14:paraId="15FB6814" w14:textId="77777777" w:rsidR="00000000" w:rsidRDefault="00010CA1">
      <w:pPr>
        <w:pStyle w:val="chapter"/>
        <w:rPr>
          <w:color w:val="000000"/>
        </w:rPr>
      </w:pPr>
      <w:bookmarkStart w:id="2" w:name="a7"/>
      <w:bookmarkEnd w:id="2"/>
      <w:r>
        <w:rPr>
          <w:color w:val="000000"/>
        </w:rPr>
        <w:lastRenderedPageBreak/>
        <w:t>ГЛАВА 1</w:t>
      </w:r>
      <w:r>
        <w:rPr>
          <w:color w:val="000000"/>
        </w:rPr>
        <w:br/>
        <w:t>ОБЩИЕ ПОЛОЖЕНИЯ</w:t>
      </w:r>
    </w:p>
    <w:p w14:paraId="68D4792A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 xml:space="preserve">1. Настоящими специфическими требованиями устанавливаются требования по обеспечению пожарной безопасности для объектов, специально предназначенных для пребывания детей, а также объектов с одновременным пребыванием свыше </w:t>
      </w:r>
      <w:r>
        <w:rPr>
          <w:color w:val="000000"/>
        </w:rPr>
        <w:t>300 человек, объектов социальной сферы и здравоохранения с круглосуточным пребыванием людей.</w:t>
      </w:r>
    </w:p>
    <w:p w14:paraId="3A393F69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Настоящие специфические требования разработаны в соответствии с</w:t>
      </w:r>
      <w:r>
        <w:rPr>
          <w:color w:val="000000"/>
        </w:rPr>
        <w:t> </w:t>
      </w:r>
      <w:r>
        <w:rPr>
          <w:color w:val="000000"/>
        </w:rPr>
        <w:t>пунктом 2 общих требований пожарной безопасности к содержанию и эксплуатации капитальных строений (</w:t>
      </w:r>
      <w:r>
        <w:rPr>
          <w:color w:val="000000"/>
        </w:rPr>
        <w:t>зданий, сооружений), изолированных помещений и иных объектов, принадлежащих субъектам хозяйствования, и обязательны для соблюдения юридическими лицами (руководителями, должностными лицами, работниками) и индивидуальными предпринимателями, а также гражданам</w:t>
      </w:r>
      <w:r>
        <w:rPr>
          <w:color w:val="000000"/>
        </w:rPr>
        <w:t>и, находящимися на объектах, специально предназначенных для пребывания детей, объектах с одновременным пребыванием свыше 300 человек, объектах социальной сферы и здравоохранения с круглосуточным пребыванием людей.</w:t>
      </w:r>
    </w:p>
    <w:p w14:paraId="4142825A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2. Ответственность за нарушение и (или) не</w:t>
      </w:r>
      <w:r>
        <w:rPr>
          <w:color w:val="000000"/>
        </w:rPr>
        <w:t>выполнение настоящих специфических требований устанавливается в соответствии с законодательными актами.</w:t>
      </w:r>
    </w:p>
    <w:p w14:paraId="2F8F7D0E" w14:textId="77777777" w:rsidR="00000000" w:rsidRDefault="00010CA1">
      <w:pPr>
        <w:pStyle w:val="point"/>
        <w:rPr>
          <w:color w:val="000000"/>
        </w:rPr>
      </w:pPr>
      <w:bookmarkStart w:id="3" w:name="a23"/>
      <w:bookmarkEnd w:id="3"/>
      <w:r>
        <w:rPr>
          <w:color w:val="000000"/>
        </w:rPr>
        <w:t>3. Для целей настоящих специфических требований применяются термины и их определения в значениях, определенных общими</w:t>
      </w:r>
      <w:r>
        <w:rPr>
          <w:color w:val="000000"/>
        </w:rPr>
        <w:t xml:space="preserve"> </w:t>
      </w:r>
      <w:r>
        <w:rPr>
          <w:color w:val="000000"/>
        </w:rPr>
        <w:t>требованиями пожарной безопасности</w:t>
      </w:r>
      <w:r>
        <w:rPr>
          <w:color w:val="000000"/>
        </w:rPr>
        <w:t xml:space="preserve"> к содержанию и эксплуатации капитальных строений (зданий, сооружений), изолированных помещений и иных объектов, принадлежащих субъектам хозяйствования, а также следующие термины и их определения:</w:t>
      </w:r>
    </w:p>
    <w:p w14:paraId="2EBD4B11" w14:textId="77777777" w:rsidR="00000000" w:rsidRDefault="00010CA1">
      <w:pPr>
        <w:pStyle w:val="newncpi"/>
        <w:rPr>
          <w:color w:val="000000"/>
        </w:rPr>
      </w:pPr>
      <w:bookmarkStart w:id="4" w:name="a25"/>
      <w:bookmarkEnd w:id="4"/>
      <w:r>
        <w:rPr>
          <w:color w:val="000000"/>
        </w:rPr>
        <w:t>дети – лица, не достигшие 18-летнего возраста;</w:t>
      </w:r>
    </w:p>
    <w:p w14:paraId="2EF5A1DF" w14:textId="77777777" w:rsidR="00000000" w:rsidRDefault="00010CA1">
      <w:pPr>
        <w:pStyle w:val="newncpi"/>
        <w:rPr>
          <w:color w:val="000000"/>
        </w:rPr>
      </w:pPr>
      <w:bookmarkStart w:id="5" w:name="a41"/>
      <w:bookmarkEnd w:id="5"/>
      <w:r>
        <w:rPr>
          <w:color w:val="000000"/>
        </w:rPr>
        <w:t>объекты, спе</w:t>
      </w:r>
      <w:r>
        <w:rPr>
          <w:color w:val="000000"/>
        </w:rPr>
        <w:t>циально предназначенные для пребывания детей, – здания (сооружения), принадлежащие субъектам хозяйствования (за исключением объектов с одновременным пребыванием свыше 300 человек, объектов социальной сферы и здравоохранения с круглосуточным пребыванием люд</w:t>
      </w:r>
      <w:r>
        <w:rPr>
          <w:color w:val="000000"/>
        </w:rPr>
        <w:t>ей), которые по своему назначению предназначены для пребывания детей (в том числе круглосуточно), и их территория, палаточные лагеря;</w:t>
      </w:r>
    </w:p>
    <w:p w14:paraId="204FA18F" w14:textId="77777777" w:rsidR="00000000" w:rsidRDefault="00010CA1">
      <w:pPr>
        <w:pStyle w:val="newncpi"/>
        <w:rPr>
          <w:color w:val="000000"/>
        </w:rPr>
      </w:pPr>
      <w:bookmarkStart w:id="6" w:name="a45"/>
      <w:bookmarkEnd w:id="6"/>
      <w:r>
        <w:rPr>
          <w:color w:val="000000"/>
        </w:rPr>
        <w:t>объекты с одновременным пребыванием свыше 300 человек – здания (сооружения), принадлежащие субъектам хозяйствования (за ис</w:t>
      </w:r>
      <w:r>
        <w:rPr>
          <w:color w:val="000000"/>
        </w:rPr>
        <w:t>ключением объектов, специально предназначенных для пребывания детей, объектов социальной сферы и здравоохранения с круглосуточным пребыванием людей, а также объектов промышленного назначения), вместимостью свыше 300 человек и их территория, ярмарки, органи</w:t>
      </w:r>
      <w:r>
        <w:rPr>
          <w:color w:val="000000"/>
        </w:rPr>
        <w:t>зуемые на открытом воздухе, с количеством посетителей свыше 300 человек;</w:t>
      </w:r>
    </w:p>
    <w:p w14:paraId="29F5B19C" w14:textId="77777777" w:rsidR="00000000" w:rsidRDefault="00010CA1">
      <w:pPr>
        <w:pStyle w:val="newncpi"/>
        <w:rPr>
          <w:color w:val="000000"/>
        </w:rPr>
      </w:pPr>
      <w:bookmarkStart w:id="7" w:name="a46"/>
      <w:bookmarkEnd w:id="7"/>
      <w:r>
        <w:rPr>
          <w:color w:val="000000"/>
        </w:rPr>
        <w:t>объекты социальной сферы и здравоохранения с круглосуточным пребыванием людей – здания (сооружения), принадлежащие субъектам хозяйствования (за исключением объектов, специально предна</w:t>
      </w:r>
      <w:r>
        <w:rPr>
          <w:color w:val="000000"/>
        </w:rPr>
        <w:t>значенных для пребывания детей, объектов с одновременным пребыванием свыше 300 человек), осуществляющим оказание социальных услуг, медицинскую деятельность, с круглосуточным пребыванием людей и их территория;</w:t>
      </w:r>
    </w:p>
    <w:p w14:paraId="51AB6C29" w14:textId="77777777" w:rsidR="00000000" w:rsidRDefault="00010CA1">
      <w:pPr>
        <w:pStyle w:val="newncpi"/>
        <w:rPr>
          <w:color w:val="000000"/>
        </w:rPr>
      </w:pPr>
      <w:bookmarkStart w:id="8" w:name="a47"/>
      <w:bookmarkEnd w:id="8"/>
      <w:r>
        <w:rPr>
          <w:color w:val="000000"/>
        </w:rPr>
        <w:t xml:space="preserve">самоспасатель – средство индивидуальной защиты </w:t>
      </w:r>
      <w:r>
        <w:rPr>
          <w:color w:val="000000"/>
        </w:rPr>
        <w:t>органов дыхания для эвакуации из опасной атмосферы, характеризующейся наличием химических и биологических факторов, уровень которых превышает установленные нормативы.</w:t>
      </w:r>
    </w:p>
    <w:p w14:paraId="38614D77" w14:textId="77777777" w:rsidR="00000000" w:rsidRDefault="00010CA1">
      <w:pPr>
        <w:pStyle w:val="chapter"/>
        <w:rPr>
          <w:color w:val="000000"/>
        </w:rPr>
      </w:pPr>
      <w:bookmarkStart w:id="9" w:name="a8"/>
      <w:bookmarkEnd w:id="9"/>
      <w:r>
        <w:rPr>
          <w:color w:val="000000"/>
        </w:rPr>
        <w:t>ГЛАВА 2</w:t>
      </w:r>
      <w:r>
        <w:rPr>
          <w:color w:val="000000"/>
        </w:rPr>
        <w:br/>
        <w:t>ТРЕБОВАНИЯ ПО ОБЕСПЕЧЕНИЮ ПОЖАРНОЙ БЕЗОПАСНОСТИ ДЛЯ ОБЪЕКТОВ, СПЕЦИАЛЬНО ПРЕДНАЗН</w:t>
      </w:r>
      <w:r>
        <w:rPr>
          <w:color w:val="000000"/>
        </w:rPr>
        <w:t>АЧЕННЫХ ДЛЯ ПРЕБЫВАНИЯ ДЕТЕЙ, А ТАКЖЕ ОБЪЕКТОВ С ОДНОВРЕМЕННЫМ ПРЕБЫВАНИЕМ СВЫШЕ 300 ЧЕЛОВЕК, ОБЪЕКТОВ СОЦИАЛЬНОЙ СФЕРЫ И ЗДРАВООХРАНЕНИЯ С КРУГЛОСУТОЧНЫМ ПРЕБЫВАНИЕМ ЛЮДЕЙ</w:t>
      </w:r>
    </w:p>
    <w:p w14:paraId="07E5AFA4" w14:textId="77777777" w:rsidR="00000000" w:rsidRDefault="00010CA1">
      <w:pPr>
        <w:pStyle w:val="point"/>
        <w:rPr>
          <w:color w:val="000000"/>
        </w:rPr>
      </w:pPr>
      <w:bookmarkStart w:id="10" w:name="a42"/>
      <w:bookmarkEnd w:id="10"/>
      <w:r>
        <w:rPr>
          <w:color w:val="000000"/>
        </w:rPr>
        <w:lastRenderedPageBreak/>
        <w:t>4. К объектам, специально предназначенным для пребывания детей, относятся здания уч</w:t>
      </w:r>
      <w:r>
        <w:rPr>
          <w:color w:val="000000"/>
        </w:rPr>
        <w:t>реждений образования (за исключением учреждений дополнительного образования взрослых), детско-юношеских спортивных и спортивно-технических школ, специализированных детско-юношеских школ олимпийского резерва и спортивно-технических школ, центров олимпийског</w:t>
      </w:r>
      <w:r>
        <w:rPr>
          <w:color w:val="000000"/>
        </w:rPr>
        <w:t>о резерва, санаторно-курортных и оздоровительных организаций для детей, детских больниц и поликлиник, домов ребенка, детских социальных пансионатов, клинических центров паллиативной медицинской помощи детям, а также здания (сооружения), используемые для ок</w:t>
      </w:r>
      <w:r>
        <w:rPr>
          <w:color w:val="000000"/>
        </w:rPr>
        <w:t>азания социальных услуг в форме стационарного социального обслуживания детей.</w:t>
      </w:r>
    </w:p>
    <w:p w14:paraId="118FDF27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К объектам с одновременным пребыванием свыше 300 человек относятся здания библиотек, музеев, филармоний, цирков и зоопарков (в том числе передвижных), клубов, дворцов (домов, цен</w:t>
      </w:r>
      <w:r>
        <w:rPr>
          <w:color w:val="000000"/>
        </w:rPr>
        <w:t>тров) культуры, учреждений дополнительного образования взрослых, поликлиник (за исключением детских поликлиник), банков, объекты общественного питания, торговые объекты, физкультурно-спортивные сооружения, театры, кинотеатры, вокзалы, культовые здания, гос</w:t>
      </w:r>
      <w:r>
        <w:rPr>
          <w:color w:val="000000"/>
        </w:rPr>
        <w:t>тиницы, общежития, многофункциональные комплексы, а также иные здания (сооружения) вместимостью свыше 300 человек.</w:t>
      </w:r>
    </w:p>
    <w:p w14:paraId="577093F6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К объектам социальной сферы и здравоохранения с круглосуточным пребыванием людей относятся здания больниц (за исключением детских больниц), г</w:t>
      </w:r>
      <w:r>
        <w:rPr>
          <w:color w:val="000000"/>
        </w:rPr>
        <w:t>оспиталей, диспансеров, центров, в том числе научно-практических, родильных домов, хосписов, санаториев, домов (баз) отдыха, пансионатов, территориальных центров социального обслуживания населения, центров (домов) временного пребывания лиц без определенног</w:t>
      </w:r>
      <w:r>
        <w:rPr>
          <w:color w:val="000000"/>
        </w:rPr>
        <w:t>о места жительства, домов сопровождаемого проживания, социальных пансионатов, центров социальной реабилитации, абилитации инвалидов, а также иные здания (сооружения), используемые для оказания социальных услуг в форме стационарного социального обслуживания</w:t>
      </w:r>
      <w:r>
        <w:rPr>
          <w:color w:val="000000"/>
        </w:rPr>
        <w:t>.</w:t>
      </w:r>
    </w:p>
    <w:p w14:paraId="14E9386F" w14:textId="77777777" w:rsidR="00000000" w:rsidRDefault="00010CA1">
      <w:pPr>
        <w:pStyle w:val="point"/>
        <w:rPr>
          <w:color w:val="000000"/>
        </w:rPr>
      </w:pPr>
      <w:bookmarkStart w:id="11" w:name="a43"/>
      <w:bookmarkEnd w:id="11"/>
      <w:r>
        <w:rPr>
          <w:color w:val="000000"/>
        </w:rPr>
        <w:t>5. На территории объектов, специально предназначенных для пребывания детей (за исключением палаточных лагерей), а также объектов с одновременным пребыванием свыше 300 человек, объектов социальной сферы и здравоохранения с круглосуточным пребыванием людей</w:t>
      </w:r>
      <w:r>
        <w:rPr>
          <w:color w:val="000000"/>
        </w:rPr>
        <w:t>, расположенных в лесных массивах или на расстоянии менее 20 метров от них, со стороны лесного массива должна создаваться противопожарная минерализованная полоса шириной не менее 2,8 метра.</w:t>
      </w:r>
    </w:p>
    <w:p w14:paraId="5226BBA9" w14:textId="77777777" w:rsidR="00000000" w:rsidRDefault="00010CA1">
      <w:pPr>
        <w:pStyle w:val="point"/>
        <w:rPr>
          <w:color w:val="000000"/>
        </w:rPr>
      </w:pPr>
      <w:bookmarkStart w:id="12" w:name="a24"/>
      <w:bookmarkEnd w:id="12"/>
      <w:r>
        <w:rPr>
          <w:color w:val="000000"/>
        </w:rPr>
        <w:t>6. На объектах, специально предназначенных для пребывания детей, а</w:t>
      </w:r>
      <w:r>
        <w:rPr>
          <w:color w:val="000000"/>
        </w:rPr>
        <w:t> также объектах с одновременным пребыванием свыше 300 человек, объектах социальной сферы и здравоохранения с круглосуточным пребыванием людей:</w:t>
      </w:r>
    </w:p>
    <w:p w14:paraId="32FA2B38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использование утюгов, электроплит и других бытовых электронагревательных приборов допускается только в специально</w:t>
      </w:r>
      <w:r>
        <w:rPr>
          <w:color w:val="000000"/>
        </w:rPr>
        <w:t xml:space="preserve"> предназначенных помещениях, в местах, указанных в эксплуатационной документации, либо в помещениях, определенных общеобъектовой инструкцией по пожарной безопасности;</w:t>
      </w:r>
    </w:p>
    <w:p w14:paraId="4258E19B" w14:textId="77777777" w:rsidR="00000000" w:rsidRDefault="00010CA1">
      <w:pPr>
        <w:pStyle w:val="newncpi"/>
        <w:rPr>
          <w:color w:val="000000"/>
        </w:rPr>
      </w:pPr>
      <w:bookmarkStart w:id="13" w:name="a44"/>
      <w:bookmarkEnd w:id="13"/>
      <w:r>
        <w:rPr>
          <w:color w:val="000000"/>
        </w:rPr>
        <w:t>ковры, ковровые покрытия (дорожки) на путях эвакуации должны быть прикреплены к полу;</w:t>
      </w:r>
    </w:p>
    <w:p w14:paraId="66D3BE1D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при</w:t>
      </w:r>
      <w:r>
        <w:rPr>
          <w:color w:val="000000"/>
        </w:rPr>
        <w:t xml:space="preserve"> организации культурных мероприятий и дискотек вне специально предназначенных помещений количество присутствующих в помещениях устанавливается из расчета 0,75 квадратного метра площади помещения на человека;</w:t>
      </w:r>
    </w:p>
    <w:p w14:paraId="64315153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участки для голосования необходимо размещать в п</w:t>
      </w:r>
      <w:r>
        <w:rPr>
          <w:color w:val="000000"/>
        </w:rPr>
        <w:t xml:space="preserve">омещениях, обеспеченных эвакуационными выходами, с учетом максимально возможного количества находящихся в них людей и предельно допустимого расстояния от наиболее удаленного места их возможного пребывания до ближайшего эвакуационного выхода в соответствии </w:t>
      </w:r>
      <w:r>
        <w:rPr>
          <w:color w:val="000000"/>
        </w:rPr>
        <w:t>с требованиями технических нормативных правовых актов. В период размещения участков для голосования допускается устраивать открытые гардеробы и организовывать временную торговлю с соблюдением минимальной эвакуационной ширины и высоты.</w:t>
      </w:r>
    </w:p>
    <w:p w14:paraId="5309C17B" w14:textId="77777777" w:rsidR="00000000" w:rsidRDefault="00010CA1">
      <w:pPr>
        <w:pStyle w:val="point"/>
        <w:rPr>
          <w:color w:val="000000"/>
        </w:rPr>
      </w:pPr>
      <w:bookmarkStart w:id="14" w:name="a20"/>
      <w:bookmarkEnd w:id="14"/>
      <w:r>
        <w:rPr>
          <w:color w:val="000000"/>
        </w:rPr>
        <w:lastRenderedPageBreak/>
        <w:t>7. </w:t>
      </w:r>
      <w:r>
        <w:rPr>
          <w:color w:val="000000"/>
        </w:rPr>
        <w:t>На объектах, специально предназначенных для пребывания детей, а также объектах с одновременным пребыванием свыше 300 человек, объектах социальной сферы и здравоохранения с круглосуточным пребыванием людей не допускается:</w:t>
      </w:r>
    </w:p>
    <w:p w14:paraId="38506DD7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хранить порожние баллоны из-под газ</w:t>
      </w:r>
      <w:r>
        <w:rPr>
          <w:color w:val="000000"/>
        </w:rPr>
        <w:t>а;</w:t>
      </w:r>
    </w:p>
    <w:p w14:paraId="0092A900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превышать нормы хранения легковоспламеняющихся и горючих жидкостей, установленные в общеобъектовой инструкции по пожарной безопасности;</w:t>
      </w:r>
    </w:p>
    <w:p w14:paraId="156A1AF4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проводить строительно-монтажные, в том числе пожароопасные, работы в помещениях при наличии в них людей (за исключени</w:t>
      </w:r>
      <w:r>
        <w:rPr>
          <w:color w:val="000000"/>
        </w:rPr>
        <w:t>ем работников, задействованных при их проведении);</w:t>
      </w:r>
    </w:p>
    <w:p w14:paraId="2298ADBA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совершать действия, которые могут привести к возникновению пожара;</w:t>
      </w:r>
    </w:p>
    <w:p w14:paraId="564D888E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осуществлять запуск изделий, принцип подъема которых на высоту основан на нагревании воздуха внутри конструкции с помощью огня;</w:t>
      </w:r>
    </w:p>
    <w:p w14:paraId="777C98D2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пользовать</w:t>
      </w:r>
      <w:r>
        <w:rPr>
          <w:color w:val="000000"/>
        </w:rPr>
        <w:t>ся лифтом при пожаре;</w:t>
      </w:r>
    </w:p>
    <w:p w14:paraId="01FFA1BC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демонтировать установленные элементы систем пожарной автоматики и автономные пожарные извещатели (за исключением случаев устранения их неисправностей с незамедлительным восстановлением работоспособности и проведения ремонтных работ вн</w:t>
      </w:r>
      <w:r>
        <w:rPr>
          <w:color w:val="000000"/>
        </w:rPr>
        <w:t>утри помещений), а также повреждать данные элементы и пожарные извещатели, препятствовать их работе.</w:t>
      </w:r>
    </w:p>
    <w:p w14:paraId="46EC5D12" w14:textId="77777777" w:rsidR="00000000" w:rsidRDefault="00010CA1">
      <w:pPr>
        <w:pStyle w:val="point"/>
        <w:rPr>
          <w:color w:val="000000"/>
        </w:rPr>
      </w:pPr>
      <w:bookmarkStart w:id="15" w:name="a32"/>
      <w:bookmarkEnd w:id="15"/>
      <w:r>
        <w:rPr>
          <w:color w:val="000000"/>
        </w:rPr>
        <w:t>8. На объектах, специально предназначенных для пребывания детей, а также объектах с одновременным пребыванием свыше 300 человек (за исключением ярмарок, ор</w:t>
      </w:r>
      <w:r>
        <w:rPr>
          <w:color w:val="000000"/>
        </w:rPr>
        <w:t>ганизуемых на открытом воздухе), объектах социальной сферы и здравоохранения с круглосуточным пребыванием людей работники, являющиеся членами пожарной дружины, и работники, задействованные в реализации плана эвакуации людей при пожаре, обеспечиваются самос</w:t>
      </w:r>
      <w:r>
        <w:rPr>
          <w:color w:val="000000"/>
        </w:rPr>
        <w:t>пасателями.</w:t>
      </w:r>
    </w:p>
    <w:p w14:paraId="74BB6915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На объектах, специально предназначенных для пребывания детей, а также объектах социальной сферы и здравоохранения с круглосуточным пребыванием людей дополнительно следует обеспечивать самоспасателями тяжелобольных и лиц, лишенных возможности са</w:t>
      </w:r>
      <w:r>
        <w:rPr>
          <w:color w:val="000000"/>
        </w:rPr>
        <w:t>мостоятельно свободно передвигаться, в количестве 100 процентов от фактически расположенных коек (кроватей) для указанной категории людей.</w:t>
      </w:r>
    </w:p>
    <w:p w14:paraId="54BB50E6" w14:textId="77777777" w:rsidR="00000000" w:rsidRDefault="00010CA1">
      <w:pPr>
        <w:pStyle w:val="newncpi"/>
        <w:rPr>
          <w:color w:val="000000"/>
        </w:rPr>
      </w:pPr>
      <w:bookmarkStart w:id="16" w:name="a36"/>
      <w:bookmarkEnd w:id="16"/>
      <w:r>
        <w:rPr>
          <w:color w:val="000000"/>
        </w:rPr>
        <w:t>Самоспасатели, предназначенные для применения работниками, являющимися членами пожарной дружины, и работниками, задей</w:t>
      </w:r>
      <w:r>
        <w:rPr>
          <w:color w:val="000000"/>
        </w:rPr>
        <w:t>ствованными в реализации плана эвакуации людей при пожаре, размещаются на рабочих местах, а тяжелобольными и лицами, лишенными возможности самостоятельно свободно передвигаться, – в помещениях их пребывания. Хранение самоспасателей должно соответствовать у</w:t>
      </w:r>
      <w:r>
        <w:rPr>
          <w:color w:val="000000"/>
        </w:rPr>
        <w:t>словиям, определенным эксплуатационной документацией.</w:t>
      </w:r>
    </w:p>
    <w:p w14:paraId="311B7494" w14:textId="77777777" w:rsidR="00000000" w:rsidRDefault="00010CA1">
      <w:pPr>
        <w:pStyle w:val="chapter"/>
        <w:rPr>
          <w:color w:val="000000"/>
        </w:rPr>
      </w:pPr>
      <w:bookmarkStart w:id="17" w:name="a9"/>
      <w:bookmarkEnd w:id="17"/>
      <w:r>
        <w:rPr>
          <w:color w:val="000000"/>
        </w:rPr>
        <w:t>ГЛАВА 3</w:t>
      </w:r>
      <w:r>
        <w:rPr>
          <w:color w:val="000000"/>
        </w:rPr>
        <w:br/>
        <w:t>ТРЕБОВАНИЯ ПО ОБЕСПЕЧЕНИЮ ПОЖАРНОЙ БЕЗОПАСНОСТИ ДЛЯ ОБЪЕКТОВ, СПЕЦИАЛЬНО ПРЕДНАЗНАЧЕННЫХ ДЛЯ ПРЕБЫВАНИЯ ДЕТЕЙ</w:t>
      </w:r>
    </w:p>
    <w:p w14:paraId="05541042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9. На объектах с одновременным пребыванием свыше 300 человек (цирки и зоопарки (в то</w:t>
      </w:r>
      <w:r>
        <w:rPr>
          <w:color w:val="000000"/>
        </w:rPr>
        <w:t>м числе передвижные), на которых предполагается присутствие детей, необходимо выполнять требования пунктов 15 и 18 настоящих специфических требований.</w:t>
      </w:r>
    </w:p>
    <w:p w14:paraId="05007A30" w14:textId="77777777" w:rsidR="00000000" w:rsidRDefault="00010CA1">
      <w:pPr>
        <w:pStyle w:val="point"/>
        <w:rPr>
          <w:color w:val="000000"/>
        </w:rPr>
      </w:pPr>
      <w:bookmarkStart w:id="18" w:name="a21"/>
      <w:bookmarkEnd w:id="18"/>
      <w:r>
        <w:rPr>
          <w:color w:val="000000"/>
        </w:rPr>
        <w:t xml:space="preserve">10. На объектах, специально предназначенных для пребывания детей круглосуточно, руководитель организации </w:t>
      </w:r>
      <w:r>
        <w:rPr>
          <w:color w:val="000000"/>
        </w:rPr>
        <w:t>обязан обеспечить ежедневное представление (до 22 часов) по телефону в городской (районный) отдел по чрезвычайным ситуациям информации о количестве детей и работников организации, находящихся в текущие сутки на объекте в ночное время (с 22 до 6 часов).</w:t>
      </w:r>
    </w:p>
    <w:p w14:paraId="7E5C3E7A" w14:textId="77777777" w:rsidR="00000000" w:rsidRDefault="00010CA1">
      <w:pPr>
        <w:pStyle w:val="point"/>
        <w:rPr>
          <w:color w:val="000000"/>
        </w:rPr>
      </w:pPr>
      <w:bookmarkStart w:id="19" w:name="a22"/>
      <w:bookmarkEnd w:id="19"/>
      <w:r>
        <w:rPr>
          <w:color w:val="000000"/>
        </w:rPr>
        <w:lastRenderedPageBreak/>
        <w:t>11.</w:t>
      </w:r>
      <w:r>
        <w:rPr>
          <w:color w:val="000000"/>
        </w:rPr>
        <w:t> В зданиях IV, V степеней огнестойкости проведение массовых мероприятий допускается только на первом этаже.</w:t>
      </w:r>
    </w:p>
    <w:p w14:paraId="33D5D39E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Организаторы массовых мероприятий с участием детей обязаны обеспечить нахождение в местах их проведения сопровождающих лиц.</w:t>
      </w:r>
    </w:p>
    <w:p w14:paraId="2D2433A2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12. В зданиях детских бо</w:t>
      </w:r>
      <w:r>
        <w:rPr>
          <w:color w:val="000000"/>
        </w:rPr>
        <w:t>льниц и поликлиник необходимо выполнять требования пунктов 21–24 настоящих специфических требований.</w:t>
      </w:r>
    </w:p>
    <w:p w14:paraId="60DDA285" w14:textId="77777777" w:rsidR="00000000" w:rsidRDefault="00010CA1">
      <w:pPr>
        <w:pStyle w:val="point"/>
        <w:rPr>
          <w:color w:val="000000"/>
        </w:rPr>
      </w:pPr>
      <w:bookmarkStart w:id="20" w:name="a38"/>
      <w:bookmarkEnd w:id="20"/>
      <w:r>
        <w:rPr>
          <w:color w:val="000000"/>
        </w:rPr>
        <w:t>13. На объектах, специально предназначенных для пребывания детей, не реже двух раз в год должны проводиться тренировочные занятия по эвакуации людей из зда</w:t>
      </w:r>
      <w:r>
        <w:rPr>
          <w:color w:val="000000"/>
        </w:rPr>
        <w:t>ний при пожаре в соответствии с общеобъектовой инструкцией по пожарной безопасности. В санаторно-курортных и оздоровительных организациях для детей (за исключением палаточных лагерей) круглосуточного пребывания тренировочные занятия должны проводиться в ка</w:t>
      </w:r>
      <w:r>
        <w:rPr>
          <w:color w:val="000000"/>
        </w:rPr>
        <w:t>ждой смене.</w:t>
      </w:r>
    </w:p>
    <w:p w14:paraId="31B0ABE6" w14:textId="77777777" w:rsidR="00000000" w:rsidRDefault="00010CA1">
      <w:pPr>
        <w:pStyle w:val="newncpi"/>
        <w:rPr>
          <w:color w:val="000000"/>
        </w:rPr>
      </w:pPr>
      <w:bookmarkStart w:id="21" w:name="a26"/>
      <w:bookmarkEnd w:id="21"/>
      <w:r>
        <w:rPr>
          <w:color w:val="000000"/>
        </w:rPr>
        <w:t>По результатам проведения тренировочных занятий составляется акт произвольной формы, в котором указываются дата проведения занятий, отработанные в соответствии с общеобъектовой инструкцией по пожарной безопасности мероприятия, должностные лица,</w:t>
      </w:r>
      <w:r>
        <w:rPr>
          <w:color w:val="000000"/>
        </w:rPr>
        <w:t xml:space="preserve"> проводившие занятия, количество человек, принимавших в них участие.</w:t>
      </w:r>
    </w:p>
    <w:p w14:paraId="61BF5964" w14:textId="77777777" w:rsidR="00000000" w:rsidRDefault="00010CA1">
      <w:pPr>
        <w:pStyle w:val="point"/>
        <w:rPr>
          <w:color w:val="000000"/>
        </w:rPr>
      </w:pPr>
      <w:bookmarkStart w:id="22" w:name="a40"/>
      <w:bookmarkEnd w:id="22"/>
      <w:r>
        <w:rPr>
          <w:color w:val="000000"/>
        </w:rPr>
        <w:t>13</w:t>
      </w:r>
      <w:r>
        <w:rPr>
          <w:color w:val="000000"/>
          <w:sz w:val="18"/>
          <w:szCs w:val="18"/>
          <w:vertAlign w:val="superscript"/>
        </w:rPr>
        <w:t>1</w:t>
      </w:r>
      <w:r>
        <w:rPr>
          <w:color w:val="000000"/>
        </w:rPr>
        <w:t>. До начала функционирования палаточного лагеря необходимо:</w:t>
      </w:r>
    </w:p>
    <w:p w14:paraId="04D52C12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назначить ответственного за обеспечение пожарной безопасности палаточного лагеря;</w:t>
      </w:r>
    </w:p>
    <w:p w14:paraId="010860BF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обеспечить подготовку ответственного за об</w:t>
      </w:r>
      <w:r>
        <w:rPr>
          <w:color w:val="000000"/>
        </w:rPr>
        <w:t>еспечение пожарной безопасности палаточного лагеря по программе пожарно-технического минимума и провести целевые противопожарные инструктажи работников, задействованных в функционировании палаточного лагеря (далее – обслуживающий персонал);</w:t>
      </w:r>
    </w:p>
    <w:p w14:paraId="39742753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разработать и у</w:t>
      </w:r>
      <w:r>
        <w:rPr>
          <w:color w:val="000000"/>
        </w:rPr>
        <w:t>твердить инструкцию по пожарной безопасности палаточного лагеря, в которой в том числе определить обязанности и действия обслуживающего персонала по соблюдению противопожарного режима и при пожаре (загорании), порядок сбора детей при пожаре (загорании), по</w:t>
      </w:r>
      <w:r>
        <w:rPr>
          <w:color w:val="000000"/>
        </w:rPr>
        <w:t>рядок дежурства обслуживающего персонала в ночное время, требования к хранению легковоспламеняющихся и горючих жидкостей, горючих газов, а также к местам размещения костровых площадок, полевых кухонь, стоянок автомобильного транспорта и установки генератор</w:t>
      </w:r>
      <w:r>
        <w:rPr>
          <w:color w:val="000000"/>
        </w:rPr>
        <w:t>ов.</w:t>
      </w:r>
    </w:p>
    <w:p w14:paraId="38156DE0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13</w:t>
      </w:r>
      <w:r>
        <w:rPr>
          <w:color w:val="000000"/>
          <w:sz w:val="18"/>
          <w:szCs w:val="18"/>
          <w:vertAlign w:val="superscript"/>
        </w:rPr>
        <w:t>2</w:t>
      </w:r>
      <w:r>
        <w:rPr>
          <w:color w:val="000000"/>
        </w:rPr>
        <w:t>. В первый день функционирования палаточного лагеря должно быть проведено ознакомление детей (с оформлением протокола) и сопровождающих их лиц (под роспись) с требованиями по обеспечению пожарной безопасности, установленными в том числе в инструкции</w:t>
      </w:r>
      <w:r>
        <w:rPr>
          <w:color w:val="000000"/>
        </w:rPr>
        <w:t xml:space="preserve"> по пожарной безопасности палаточного лагеря.</w:t>
      </w:r>
    </w:p>
    <w:p w14:paraId="2924FDB2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Во время функционирования палаточного лагеря в ночное время должно осуществляться дежурство обслуживающего персонала, который обеспечивается исправными переносными электрическими фонарями (из расчета один фонар</w:t>
      </w:r>
      <w:r>
        <w:rPr>
          <w:color w:val="000000"/>
        </w:rPr>
        <w:t>ь на работника, находящегося на дежурстве) и громкоговорителем (для палаточных лагерей с численностью детей более 50 человек).</w:t>
      </w:r>
    </w:p>
    <w:p w14:paraId="0B256EE8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13</w:t>
      </w:r>
      <w:r>
        <w:rPr>
          <w:color w:val="000000"/>
          <w:sz w:val="18"/>
          <w:szCs w:val="18"/>
          <w:vertAlign w:val="superscript"/>
        </w:rPr>
        <w:t>3</w:t>
      </w:r>
      <w:r>
        <w:rPr>
          <w:color w:val="000000"/>
        </w:rPr>
        <w:t>. Палатки следует устанавливать группами (общее количество проживающих в группе палаток – не более 50 человек), при этом площа</w:t>
      </w:r>
      <w:r>
        <w:rPr>
          <w:color w:val="000000"/>
        </w:rPr>
        <w:t>дь территории, занимаемая одной группой палаток, не должна превышать 800 квадратных метров.</w:t>
      </w:r>
    </w:p>
    <w:p w14:paraId="361C7A92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Расстояние от палаток до мест установки генераторов, размещения полевых кухонь, стоянок автомобильного транспорта, мест хранения легковоспламеняющихся и горючих жид</w:t>
      </w:r>
      <w:r>
        <w:rPr>
          <w:color w:val="000000"/>
        </w:rPr>
        <w:t>костей, горючих газов и между группами палаток должно быть не менее 15 метров, а между отдельными палатками (их стропами) в группе – не менее 2 метров.</w:t>
      </w:r>
    </w:p>
    <w:p w14:paraId="7D970708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lastRenderedPageBreak/>
        <w:t>Контролируемые разведение костров и использование специальных приспособлений для горящего угля в целях п</w:t>
      </w:r>
      <w:r>
        <w:rPr>
          <w:color w:val="000000"/>
        </w:rPr>
        <w:t>риготовления пищи (мангал, барбекю, гриль, камин и другое) допускаются на территории палаточного лагеря при условиях:</w:t>
      </w:r>
    </w:p>
    <w:p w14:paraId="25F5AF80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расположения очагов горения на площадках, окаймленных минерализованной полосой шириной не менее 0,25 метра, на расстоянии, исключающем заг</w:t>
      </w:r>
      <w:r>
        <w:rPr>
          <w:color w:val="000000"/>
        </w:rPr>
        <w:t>орание ближайших строений и других горючих предметов (материалов). Костровая площадка для проведения общелагерных мероприятий должна находиться на расстоянии не менее 50 метров от палаток;</w:t>
      </w:r>
    </w:p>
    <w:p w14:paraId="5D5A8310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размещения вблизи очагов горения средств тушения;</w:t>
      </w:r>
    </w:p>
    <w:p w14:paraId="7462D42D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обеспечения непрерывного контроля за процессом горения лицом старше 14 лет.</w:t>
      </w:r>
    </w:p>
    <w:p w14:paraId="0E72BA9C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По окончании использования очагов горения либо постоянного контроля за процессом горения остатки горящих (тлеющих) материалов долж</w:t>
      </w:r>
      <w:r>
        <w:rPr>
          <w:color w:val="000000"/>
        </w:rPr>
        <w:t>ны быть потушены до полного прекращения тления.</w:t>
      </w:r>
    </w:p>
    <w:p w14:paraId="626DBAAD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В палатках не допускается:</w:t>
      </w:r>
    </w:p>
    <w:p w14:paraId="269F6E0B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применение открытого огня, в том числе курение курительных табачных изделий, и пиротехнических изделий;</w:t>
      </w:r>
    </w:p>
    <w:p w14:paraId="4D4D64C0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эксплуатация теплогенерирующих аппаратов, работающих на жидком, газообразном,</w:t>
      </w:r>
      <w:r>
        <w:rPr>
          <w:color w:val="000000"/>
        </w:rPr>
        <w:t xml:space="preserve"> твердом видах топлива;</w:t>
      </w:r>
    </w:p>
    <w:p w14:paraId="2D1F01E7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хранение легковоспламеняющихся и горючих жидкостей, горючих газов (за исключением специально отведенных палаток без пребывания людей);</w:t>
      </w:r>
    </w:p>
    <w:p w14:paraId="1998C0D4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превышение установленной производителем нормы вместимости.</w:t>
      </w:r>
    </w:p>
    <w:p w14:paraId="142A4A8D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При размещении в палатках кроватей шир</w:t>
      </w:r>
      <w:r>
        <w:rPr>
          <w:color w:val="000000"/>
        </w:rPr>
        <w:t>ина центрального прохода должна быть не менее 1 метра. Загромождение проходов и выходов из палаток не допускается.</w:t>
      </w:r>
    </w:p>
    <w:p w14:paraId="357ACC47" w14:textId="77777777" w:rsidR="00000000" w:rsidRDefault="00010CA1">
      <w:pPr>
        <w:pStyle w:val="chapter"/>
        <w:rPr>
          <w:color w:val="000000"/>
        </w:rPr>
      </w:pPr>
      <w:bookmarkStart w:id="23" w:name="a10"/>
      <w:bookmarkEnd w:id="23"/>
      <w:r>
        <w:rPr>
          <w:color w:val="000000"/>
        </w:rPr>
        <w:t>ГЛАВА 4</w:t>
      </w:r>
      <w:r>
        <w:rPr>
          <w:color w:val="000000"/>
        </w:rPr>
        <w:br/>
        <w:t>ТРЕБОВАНИЯ ПО ОБЕСПЕЧЕНИЮ ПОЖАРНОЙ БЕЗОПАСНОСТИ ДЛЯ ОБЪЕКТОВ С ОДНОВРЕМЕННЫМ ПРЕБЫВАНИЕМ СВЫШЕ 300 ЧЕЛОВЕК</w:t>
      </w:r>
    </w:p>
    <w:p w14:paraId="42FB9D74" w14:textId="77777777" w:rsidR="00000000" w:rsidRDefault="00010CA1">
      <w:pPr>
        <w:pStyle w:val="point"/>
        <w:rPr>
          <w:color w:val="000000"/>
        </w:rPr>
      </w:pPr>
      <w:bookmarkStart w:id="24" w:name="a30"/>
      <w:bookmarkEnd w:id="24"/>
      <w:r>
        <w:rPr>
          <w:color w:val="000000"/>
        </w:rPr>
        <w:t>14. При организации ярмаро</w:t>
      </w:r>
      <w:r>
        <w:rPr>
          <w:color w:val="000000"/>
        </w:rPr>
        <w:t>к на открытом воздухе организатором должна быть разработана и представлена в городской (районный) отдел по чрезвычайным ситуациям не позднее чем за 5 рабочих дней до проведения ярмарки схема распределения и расстановки торговых мест с указанием для пожарно</w:t>
      </w:r>
      <w:r>
        <w:rPr>
          <w:color w:val="000000"/>
        </w:rPr>
        <w:t>й аварийно-спасательной техники проездов и подъездов к зданиям, сооружениям, торговым местам, водоисточникам, а также мест размещения первичных средств пожаротушения.</w:t>
      </w:r>
    </w:p>
    <w:p w14:paraId="49D446ED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Выходы с территории ярмарки должны быть рассредоточены и располагаться на расстоянии не б</w:t>
      </w:r>
      <w:r>
        <w:rPr>
          <w:color w:val="000000"/>
        </w:rPr>
        <w:t>олее 100 метров друг от друга.</w:t>
      </w:r>
    </w:p>
    <w:p w14:paraId="6FB1DF7E" w14:textId="77777777" w:rsidR="00000000" w:rsidRDefault="00010CA1">
      <w:pPr>
        <w:pStyle w:val="point"/>
        <w:rPr>
          <w:color w:val="000000"/>
        </w:rPr>
      </w:pPr>
      <w:bookmarkStart w:id="25" w:name="a4"/>
      <w:bookmarkEnd w:id="25"/>
      <w:r>
        <w:rPr>
          <w:color w:val="000000"/>
        </w:rPr>
        <w:t>15. При кольцевой (замкнутой) расстановке вагончиков передвижных зоопарков и цирков должно предусматриваться не менее двух внутренних въездов (выездов) шириной, обеспечивающей свободный проезд пожарной аварийно-спасательной т</w:t>
      </w:r>
      <w:r>
        <w:rPr>
          <w:color w:val="000000"/>
        </w:rPr>
        <w:t>ехники, но не менее 3,5 метра.</w:t>
      </w:r>
    </w:p>
    <w:p w14:paraId="15D7C61C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16. В культовых зданиях не допускается эксплуатация светильников (фонарей) с применением открытого огня:</w:t>
      </w:r>
    </w:p>
    <w:p w14:paraId="11D7D1DA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с поврежденными стеклянными ограждениями и колбами;</w:t>
      </w:r>
    </w:p>
    <w:p w14:paraId="1F9A5C15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заправленных легковоспламеняющимися жидкостями (за исключением лампа</w:t>
      </w:r>
      <w:r>
        <w:rPr>
          <w:color w:val="000000"/>
        </w:rPr>
        <w:t>дного масла);</w:t>
      </w:r>
    </w:p>
    <w:p w14:paraId="7FCB5AD5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в качестве осветительного оборудования в подвальных и чердачных помещениях.</w:t>
      </w:r>
    </w:p>
    <w:p w14:paraId="376888FA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lastRenderedPageBreak/>
        <w:t>Не допускается оставлять зажженные свечи и прочие источники открытого огня (в том числе лампады и светильники) без присмотра.</w:t>
      </w:r>
    </w:p>
    <w:p w14:paraId="405BB25E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Подсвечники, светильники, жертвенные оча</w:t>
      </w:r>
      <w:r>
        <w:rPr>
          <w:color w:val="000000"/>
        </w:rPr>
        <w:t>ги и другое оборудование с применением открытого огня должны быть выполнены из негорючих материалов.</w:t>
      </w:r>
    </w:p>
    <w:p w14:paraId="18D687EF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17. Исключен.</w:t>
      </w:r>
    </w:p>
    <w:p w14:paraId="79298FBF" w14:textId="77777777" w:rsidR="00000000" w:rsidRDefault="00010CA1">
      <w:pPr>
        <w:pStyle w:val="point"/>
        <w:rPr>
          <w:color w:val="000000"/>
        </w:rPr>
      </w:pPr>
      <w:bookmarkStart w:id="26" w:name="a33"/>
      <w:bookmarkEnd w:id="26"/>
      <w:r>
        <w:rPr>
          <w:color w:val="000000"/>
        </w:rPr>
        <w:t>18. Количество зрителей в передвижных цирках не должно превышать число посадочных мест. При разности уровня смежных помещений в проходах долж</w:t>
      </w:r>
      <w:r>
        <w:rPr>
          <w:color w:val="000000"/>
        </w:rPr>
        <w:t>ны устраиваться пологие пандусы. Кресла, стулья и скамьи должны быть соединены между собой в ряды и установлены стационарно.</w:t>
      </w:r>
    </w:p>
    <w:p w14:paraId="4A7C8DDE" w14:textId="77777777" w:rsidR="00000000" w:rsidRDefault="00010CA1">
      <w:pPr>
        <w:pStyle w:val="newncpi"/>
        <w:rPr>
          <w:color w:val="000000"/>
        </w:rPr>
      </w:pPr>
      <w:r>
        <w:rPr>
          <w:color w:val="000000"/>
        </w:rPr>
        <w:t>Не допускается уменьшать ширину проходов между рядами мест для сидения и устанавливать в проходах дополнительные места для сидения.</w:t>
      </w:r>
    </w:p>
    <w:p w14:paraId="275B64AD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19. В зданиях поликлиник (за исключением зданий детских поликлиник) необходимо выполнять требования пунктов 21–24 настоящих специфических требований.</w:t>
      </w:r>
    </w:p>
    <w:p w14:paraId="78321151" w14:textId="77777777" w:rsidR="00000000" w:rsidRDefault="00010CA1">
      <w:pPr>
        <w:pStyle w:val="point"/>
        <w:rPr>
          <w:color w:val="000000"/>
        </w:rPr>
      </w:pPr>
      <w:bookmarkStart w:id="27" w:name="a39"/>
      <w:bookmarkEnd w:id="27"/>
      <w:r>
        <w:rPr>
          <w:color w:val="000000"/>
        </w:rPr>
        <w:t>20. На объектах с одновременным пребыванием свыше 300 человек (за исключением культовых зданий) не реже д</w:t>
      </w:r>
      <w:r>
        <w:rPr>
          <w:color w:val="000000"/>
        </w:rPr>
        <w:t>вух раз в год должны проводиться тренировочные занятия по отработке действий работников по обеспечению безопасной эвакуации людей из зданий при пожаре в соответствии с общеобъектовой инструкцией по пожарной безопасности.</w:t>
      </w:r>
    </w:p>
    <w:p w14:paraId="33CF53C7" w14:textId="77777777" w:rsidR="00000000" w:rsidRDefault="00010CA1">
      <w:pPr>
        <w:pStyle w:val="newncpi"/>
        <w:rPr>
          <w:color w:val="000000"/>
        </w:rPr>
      </w:pPr>
      <w:bookmarkStart w:id="28" w:name="a27"/>
      <w:bookmarkEnd w:id="28"/>
      <w:r>
        <w:rPr>
          <w:color w:val="000000"/>
        </w:rPr>
        <w:t>По результатам проведения тренирово</w:t>
      </w:r>
      <w:r>
        <w:rPr>
          <w:color w:val="000000"/>
        </w:rPr>
        <w:t>чных занятий составляется акт произвольной формы, в котором указываются дата проведения занятий, отработанные в соответствии с общеобъектовой инструкцией по пожарной безопасности мероприятия, должностные лица, проводившие занятия, количество человек, прини</w:t>
      </w:r>
      <w:r>
        <w:rPr>
          <w:color w:val="000000"/>
        </w:rPr>
        <w:t>мавших в них участие.</w:t>
      </w:r>
    </w:p>
    <w:p w14:paraId="33CDBCCE" w14:textId="77777777" w:rsidR="00000000" w:rsidRDefault="00010CA1">
      <w:pPr>
        <w:pStyle w:val="chapter"/>
        <w:rPr>
          <w:color w:val="000000"/>
        </w:rPr>
      </w:pPr>
      <w:bookmarkStart w:id="29" w:name="a11"/>
      <w:bookmarkEnd w:id="29"/>
      <w:r>
        <w:rPr>
          <w:color w:val="000000"/>
        </w:rPr>
        <w:t>ГЛАВА 5</w:t>
      </w:r>
      <w:r>
        <w:rPr>
          <w:color w:val="000000"/>
        </w:rPr>
        <w:br/>
        <w:t>ТРЕБОВАНИЯ ПО ОБЕСПЕЧЕНИЮ ПОЖАРНОЙ БЕЗОПАСНОСТИ ДЛЯ ОБЪЕКТОВ СОЦИАЛЬНОЙ СФЕРЫ И ЗДРАВООХРАНЕНИЯ С КРУГЛОСУТОЧНЫМ ПРЕБЫВАНИЕМ ЛЮДЕЙ</w:t>
      </w:r>
    </w:p>
    <w:p w14:paraId="76D0F78F" w14:textId="77777777" w:rsidR="00000000" w:rsidRDefault="00010CA1">
      <w:pPr>
        <w:pStyle w:val="point"/>
        <w:rPr>
          <w:color w:val="000000"/>
        </w:rPr>
      </w:pPr>
      <w:bookmarkStart w:id="30" w:name="a29"/>
      <w:bookmarkEnd w:id="30"/>
      <w:r>
        <w:rPr>
          <w:color w:val="000000"/>
        </w:rPr>
        <w:t>21. Расстояние от барокамер, баллонов с газом до отопительных приборов и других источников тепл</w:t>
      </w:r>
      <w:r>
        <w:rPr>
          <w:color w:val="000000"/>
        </w:rPr>
        <w:t>а должно соответствовать значениям, указанным в эксплуатационной документации на них, но при этом быть не менее 1 метра.</w:t>
      </w:r>
    </w:p>
    <w:p w14:paraId="49B62927" w14:textId="77777777" w:rsidR="00000000" w:rsidRDefault="00010CA1">
      <w:pPr>
        <w:pStyle w:val="point"/>
        <w:rPr>
          <w:color w:val="000000"/>
        </w:rPr>
      </w:pPr>
      <w:bookmarkStart w:id="31" w:name="a6"/>
      <w:bookmarkEnd w:id="31"/>
      <w:r>
        <w:rPr>
          <w:color w:val="000000"/>
        </w:rPr>
        <w:t>22. В помещении барозала необходимо применять приборы и оборудование, допущенные к работе в среде с повышенным содержанием кислорода.</w:t>
      </w:r>
    </w:p>
    <w:p w14:paraId="6C558EEA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3. В отделениях и кабинетах физиотерапии не допускается применять для покрытия пола и изготовления занавесей процедурных кабин синтетические материалы, способные образовывать и накапливать статическое электричество.</w:t>
      </w:r>
    </w:p>
    <w:p w14:paraId="2958875E" w14:textId="77777777" w:rsidR="00000000" w:rsidRDefault="00010CA1">
      <w:pPr>
        <w:pStyle w:val="point"/>
        <w:rPr>
          <w:color w:val="000000"/>
        </w:rPr>
      </w:pPr>
      <w:r>
        <w:rPr>
          <w:color w:val="000000"/>
        </w:rPr>
        <w:t>24. </w:t>
      </w:r>
      <w:r>
        <w:rPr>
          <w:color w:val="000000"/>
        </w:rPr>
        <w:t>На термостатах, холодильниках, сейфах, где хранятся инфицированные объекты, необходимо наносить надписи «Во время пожара не вскрывать!» и «Выносить запрещается!».</w:t>
      </w:r>
    </w:p>
    <w:p w14:paraId="444DEB67" w14:textId="77777777" w:rsidR="00000000" w:rsidRDefault="00010CA1">
      <w:pPr>
        <w:pStyle w:val="point"/>
        <w:rPr>
          <w:color w:val="000000"/>
        </w:rPr>
      </w:pPr>
      <w:bookmarkStart w:id="32" w:name="a37"/>
      <w:bookmarkEnd w:id="32"/>
      <w:r>
        <w:rPr>
          <w:color w:val="000000"/>
        </w:rPr>
        <w:t>25. На объектах социальной сферы и здравоохранения с круглосуточным пребыванием людей руковод</w:t>
      </w:r>
      <w:r>
        <w:rPr>
          <w:color w:val="000000"/>
        </w:rPr>
        <w:t>итель организации обязан обеспечить ежедневное представление (до 22 часов) по телефону в городской (районный) отдел по чрезвычайным ситуациям информации о количестве людей, в том числе работников организации, находящихся в текущие сутки на объекте в ночное</w:t>
      </w:r>
      <w:r>
        <w:rPr>
          <w:color w:val="000000"/>
        </w:rPr>
        <w:t xml:space="preserve"> время (с 22 до 6 часов).</w:t>
      </w:r>
    </w:p>
    <w:p w14:paraId="7C4CA87A" w14:textId="77777777" w:rsidR="00000000" w:rsidRDefault="00010CA1">
      <w:pPr>
        <w:pStyle w:val="point"/>
        <w:rPr>
          <w:color w:val="000000"/>
        </w:rPr>
      </w:pPr>
      <w:bookmarkStart w:id="33" w:name="a17"/>
      <w:bookmarkEnd w:id="33"/>
      <w:r>
        <w:rPr>
          <w:color w:val="000000"/>
        </w:rPr>
        <w:t xml:space="preserve">26. На объектах социальной сферы и здравоохранения с круглосуточным пребыванием людей не реже двух раз в год должны проводиться тренировочные занятия по отработке действий работников </w:t>
      </w:r>
      <w:r>
        <w:rPr>
          <w:color w:val="000000"/>
        </w:rPr>
        <w:lastRenderedPageBreak/>
        <w:t>по обеспечению безопасной эвакуации людей из зд</w:t>
      </w:r>
      <w:r>
        <w:rPr>
          <w:color w:val="000000"/>
        </w:rPr>
        <w:t>аний при пожаре в соответствии с общеобъектовой инструкцией по пожарной безопасности.</w:t>
      </w:r>
    </w:p>
    <w:p w14:paraId="23E85D43" w14:textId="77777777" w:rsidR="00000000" w:rsidRDefault="00010CA1">
      <w:pPr>
        <w:pStyle w:val="newncpi"/>
        <w:rPr>
          <w:color w:val="000000"/>
        </w:rPr>
      </w:pPr>
      <w:bookmarkStart w:id="34" w:name="a28"/>
      <w:bookmarkEnd w:id="34"/>
      <w:r>
        <w:rPr>
          <w:color w:val="000000"/>
        </w:rPr>
        <w:t>По результатам проведения тренировочных занятий составляется акт произвольной формы, в котором указываются дата проведения занятий, отработанные в соответствии с общеобъе</w:t>
      </w:r>
      <w:r>
        <w:rPr>
          <w:color w:val="000000"/>
        </w:rPr>
        <w:t>ктовой инструкцией по пожарной безопасности мероприятия, должностные лица, проводившие занятия, количество человек, принимавших в них участие.</w:t>
      </w:r>
    </w:p>
    <w:p w14:paraId="244EA071" w14:textId="77777777" w:rsidR="00010CA1" w:rsidRDefault="00010CA1">
      <w:pPr>
        <w:pStyle w:val="newncpi"/>
        <w:rPr>
          <w:color w:val="000000"/>
        </w:rPr>
      </w:pPr>
      <w:r>
        <w:rPr>
          <w:color w:val="000000"/>
        </w:rPr>
        <w:t> </w:t>
      </w:r>
    </w:p>
    <w:sectPr w:rsidR="00010CA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D50"/>
    <w:rsid w:val="00010CA1"/>
    <w:rsid w:val="00876672"/>
    <w:rsid w:val="009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2A94"/>
  <w15:docId w15:val="{D997BD26-E2D7-459D-8F0C-43E5DF1F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Acronym"/>
    <w:basedOn w:val="a0"/>
    <w:uiPriority w:val="99"/>
    <w:semiHidden/>
    <w:unhideWhenUsed/>
    <w:rPr>
      <w:color w:val="000000"/>
      <w:shd w:val="clear" w:color="auto" w:fill="FFFF00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reamble">
    <w:name w:val="preamble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pPr>
      <w:spacing w:before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pPr>
      <w:spacing w:before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3165</Words>
  <Characters>18047</Characters>
  <Application>Microsoft Office Word</Application>
  <DocSecurity>0</DocSecurity>
  <Lines>150</Lines>
  <Paragraphs>42</Paragraphs>
  <ScaleCrop>false</ScaleCrop>
  <Company/>
  <LinksUpToDate>false</LinksUpToDate>
  <CharactersWithSpaces>21170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2025-02-26T12:25:00Z</dcterms:created>
  <dcterms:modified xsi:type="dcterms:W3CDTF">2025-02-26T12:25:00Z</dcterms:modified>
</cp:coreProperties>
</file>